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D3535" w14:textId="13BCF24E" w:rsidR="006C1AE7" w:rsidRDefault="006C1AE7" w:rsidP="006C1AE7">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107</w:t>
      </w:r>
      <w:r>
        <w:rPr>
          <w:b/>
          <w:noProof/>
          <w:sz w:val="24"/>
        </w:rPr>
        <w:tab/>
      </w:r>
      <w:r w:rsidR="00F54E13" w:rsidRPr="00F54E13">
        <w:rPr>
          <w:b/>
          <w:noProof/>
          <w:sz w:val="24"/>
        </w:rPr>
        <w:t>R4-2307933</w:t>
      </w:r>
    </w:p>
    <w:p w14:paraId="63C63B34" w14:textId="41EEF491" w:rsidR="001512D7" w:rsidRPr="00566BC5" w:rsidRDefault="006C1AE7" w:rsidP="006C1AE7">
      <w:pPr>
        <w:pStyle w:val="a4"/>
        <w:tabs>
          <w:tab w:val="left" w:pos="5265"/>
        </w:tabs>
        <w:outlineLvl w:val="0"/>
        <w:rPr>
          <w:b w:val="0"/>
          <w:sz w:val="24"/>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15C58DF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067CC">
        <w:rPr>
          <w:rFonts w:ascii="Arial" w:hAnsi="Arial" w:cs="Arial"/>
          <w:b/>
        </w:rPr>
        <w:t>O</w:t>
      </w:r>
      <w:r w:rsidR="00704D30">
        <w:rPr>
          <w:rFonts w:ascii="Arial" w:hAnsi="Arial" w:cs="Arial"/>
          <w:b/>
        </w:rPr>
        <w:t xml:space="preserve">n </w:t>
      </w:r>
      <w:r w:rsidR="00416795">
        <w:rPr>
          <w:rFonts w:ascii="Arial" w:hAnsi="Arial" w:cs="Arial"/>
          <w:b/>
        </w:rPr>
        <w:t xml:space="preserve">measurement grid for </w:t>
      </w:r>
      <w:r w:rsidR="003A662E">
        <w:rPr>
          <w:rFonts w:ascii="Arial" w:hAnsi="Arial" w:cs="Arial"/>
          <w:b/>
        </w:rPr>
        <w:t xml:space="preserve">multi-RX DL </w:t>
      </w:r>
      <w:r w:rsidR="00416795">
        <w:rPr>
          <w:rFonts w:ascii="Arial" w:hAnsi="Arial" w:cs="Arial"/>
          <w:b/>
        </w:rPr>
        <w:t>2AoA spherical coverage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EED5969"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92523">
        <w:rPr>
          <w:rFonts w:ascii="Arial" w:hAnsi="Arial" w:cs="Arial"/>
          <w:b/>
        </w:rPr>
        <w:t>8</w:t>
      </w:r>
      <w:r w:rsidR="00CA5888">
        <w:rPr>
          <w:rFonts w:ascii="Arial" w:hAnsi="Arial" w:cs="Arial"/>
          <w:b/>
        </w:rPr>
        <w:t>.</w:t>
      </w:r>
      <w:r w:rsidR="00690E7F">
        <w:rPr>
          <w:rFonts w:ascii="Arial" w:hAnsi="Arial" w:cs="Arial"/>
          <w:b/>
        </w:rPr>
        <w:t>3</w:t>
      </w:r>
      <w:r w:rsidR="00CA5888">
        <w:rPr>
          <w:rFonts w:ascii="Arial" w:hAnsi="Arial" w:cs="Arial"/>
          <w:b/>
        </w:rPr>
        <w:t>.</w:t>
      </w:r>
      <w:r w:rsidR="00AC5999">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1320CF05" w14:textId="4AE20411" w:rsidR="006C781E" w:rsidRDefault="00EA2CF3" w:rsidP="00EA2CF3">
      <w:pPr>
        <w:rPr>
          <w:lang w:eastAsia="zh-CN"/>
        </w:rPr>
      </w:pPr>
      <w:r>
        <w:rPr>
          <w:lang w:eastAsia="zh-CN"/>
        </w:rPr>
        <w:t xml:space="preserve">Test method for multi-RX DL RF on 2AoA spherical coverage are converging and test procedure for multiple DCI UE and single DCI UE is almost clear except for several issues depending on RF session conclusion. </w:t>
      </w:r>
      <w:r w:rsidR="006C781E">
        <w:rPr>
          <w:lang w:eastAsia="zh-CN"/>
        </w:rPr>
        <w:t xml:space="preserve">Given test method is becoming stable, it is time to start the work on preliminary measurement uncertainty, as indicated in the </w:t>
      </w:r>
      <w:r w:rsidR="007B2BEF">
        <w:rPr>
          <w:lang w:eastAsia="zh-CN"/>
        </w:rPr>
        <w:t>S</w:t>
      </w:r>
      <w:r w:rsidR="006C781E">
        <w:rPr>
          <w:lang w:eastAsia="zh-CN"/>
        </w:rPr>
        <w:t>ID [1]</w:t>
      </w:r>
    </w:p>
    <w:tbl>
      <w:tblPr>
        <w:tblStyle w:val="ad"/>
        <w:tblW w:w="0" w:type="auto"/>
        <w:tblLook w:val="04A0" w:firstRow="1" w:lastRow="0" w:firstColumn="1" w:lastColumn="0" w:noHBand="0" w:noVBand="1"/>
      </w:tblPr>
      <w:tblGrid>
        <w:gridCol w:w="9622"/>
      </w:tblGrid>
      <w:tr w:rsidR="006C781E" w14:paraId="725CB2B3" w14:textId="77777777" w:rsidTr="006C781E">
        <w:tc>
          <w:tcPr>
            <w:tcW w:w="9622" w:type="dxa"/>
          </w:tcPr>
          <w:p w14:paraId="6940664D" w14:textId="77777777" w:rsidR="006C781E" w:rsidRDefault="006C781E" w:rsidP="006C781E">
            <w:pPr>
              <w:numPr>
                <w:ilvl w:val="0"/>
                <w:numId w:val="35"/>
              </w:numPr>
              <w:overflowPunct w:val="0"/>
              <w:autoSpaceDE w:val="0"/>
              <w:autoSpaceDN w:val="0"/>
              <w:adjustRightInd w:val="0"/>
              <w:spacing w:after="0"/>
              <w:textAlignment w:val="baseline"/>
              <w:rPr>
                <w:lang w:eastAsia="zh-CN"/>
              </w:rPr>
            </w:pPr>
            <w:r>
              <w:rPr>
                <w:lang w:eastAsia="zh-CN"/>
              </w:rPr>
              <w:t>Develop the related preliminary uncertainty assessments for the test methodologies</w:t>
            </w:r>
          </w:p>
          <w:p w14:paraId="66A179C1" w14:textId="77777777" w:rsidR="006C781E" w:rsidRDefault="006C781E" w:rsidP="006C781E">
            <w:pPr>
              <w:numPr>
                <w:ilvl w:val="0"/>
                <w:numId w:val="35"/>
              </w:numPr>
              <w:overflowPunct w:val="0"/>
              <w:autoSpaceDE w:val="0"/>
              <w:autoSpaceDN w:val="0"/>
              <w:adjustRightInd w:val="0"/>
              <w:spacing w:after="0"/>
              <w:textAlignment w:val="baseline"/>
              <w:rPr>
                <w:lang w:eastAsia="zh-CN"/>
              </w:rPr>
            </w:pPr>
            <w:r>
              <w:rPr>
                <w:lang w:eastAsia="zh-CN"/>
              </w:rPr>
              <w:t xml:space="preserve">FR2 test methods </w:t>
            </w:r>
            <w:r w:rsidRPr="00EB35BF">
              <w:rPr>
                <w:lang w:eastAsia="zh-CN"/>
              </w:rPr>
              <w:t xml:space="preserve">defined in TR 38.810 and TR 38.884 </w:t>
            </w:r>
            <w:r>
              <w:rPr>
                <w:lang w:eastAsia="zh-CN"/>
              </w:rPr>
              <w:t xml:space="preserve">should be used as the baseline. </w:t>
            </w:r>
          </w:p>
          <w:p w14:paraId="2F97EC9B" w14:textId="3EF55199" w:rsidR="006C781E" w:rsidRPr="006C781E" w:rsidRDefault="006C781E" w:rsidP="006C781E">
            <w:pPr>
              <w:numPr>
                <w:ilvl w:val="0"/>
                <w:numId w:val="35"/>
              </w:numPr>
              <w:overflowPunct w:val="0"/>
              <w:autoSpaceDE w:val="0"/>
              <w:autoSpaceDN w:val="0"/>
              <w:adjustRightInd w:val="0"/>
              <w:spacing w:after="0"/>
              <w:textAlignment w:val="baseline"/>
              <w:rPr>
                <w:lang w:eastAsia="zh-CN"/>
              </w:rPr>
            </w:pPr>
            <w:r>
              <w:rPr>
                <w:lang w:eastAsia="zh-CN"/>
              </w:rPr>
              <w:t>The tests shall take the test system reuse, test system complexity and test time into account to keep the whole test costs within a reasonable level.</w:t>
            </w:r>
          </w:p>
        </w:tc>
      </w:tr>
    </w:tbl>
    <w:p w14:paraId="4C4AA7BF" w14:textId="64482A27" w:rsidR="00EF3876" w:rsidRDefault="00EF3876" w:rsidP="00EA2CF3">
      <w:pPr>
        <w:rPr>
          <w:lang w:eastAsia="zh-CN"/>
        </w:rPr>
      </w:pPr>
    </w:p>
    <w:p w14:paraId="53C76B1F" w14:textId="0CDBA6E1" w:rsidR="00AB198D" w:rsidRPr="00AB198D" w:rsidRDefault="007A117C" w:rsidP="008F13B3">
      <w:pPr>
        <w:rPr>
          <w:lang w:val="en-US" w:eastAsia="zh-CN"/>
        </w:rPr>
      </w:pPr>
      <w:r>
        <w:rPr>
          <w:lang w:eastAsia="zh-CN"/>
        </w:rPr>
        <w:t>M</w:t>
      </w:r>
      <w:r w:rsidR="006C781E">
        <w:rPr>
          <w:lang w:eastAsia="zh-CN"/>
        </w:rPr>
        <w:t>easurement grid is o</w:t>
      </w:r>
      <w:r>
        <w:rPr>
          <w:lang w:eastAsia="zh-CN"/>
        </w:rPr>
        <w:t xml:space="preserve">ne of the most critical prerequisite for preliminary uncertainty assessment. </w:t>
      </w:r>
      <w:r w:rsidR="00B20FD1">
        <w:rPr>
          <w:lang w:eastAsia="zh-CN"/>
        </w:rPr>
        <w:t xml:space="preserve">In this contribution, </w:t>
      </w:r>
      <w:r>
        <w:rPr>
          <w:lang w:eastAsia="zh-CN"/>
        </w:rPr>
        <w:t>we initiate the measurement grid discussion</w:t>
      </w:r>
      <w:r w:rsidR="00102B34">
        <w:rPr>
          <w:lang w:eastAsia="zh-CN"/>
        </w:rPr>
        <w:t>.</w:t>
      </w:r>
    </w:p>
    <w:p w14:paraId="65A85401" w14:textId="697A8A6E" w:rsidR="00962566" w:rsidRDefault="000A567D" w:rsidP="00E33B8C">
      <w:pPr>
        <w:pStyle w:val="1"/>
      </w:pPr>
      <w:r>
        <w:t xml:space="preserve">2. </w:t>
      </w:r>
      <w:r>
        <w:tab/>
      </w:r>
      <w:r w:rsidR="002A1C01">
        <w:t>Discussion</w:t>
      </w:r>
    </w:p>
    <w:p w14:paraId="487B8D97" w14:textId="5C35A881" w:rsidR="00882466" w:rsidRDefault="007A117C" w:rsidP="00E16A3E">
      <w:pPr>
        <w:rPr>
          <w:lang w:eastAsia="zh-CN"/>
        </w:rPr>
      </w:pPr>
      <w:r>
        <w:rPr>
          <w:lang w:eastAsia="zh-CN"/>
        </w:rPr>
        <w:t xml:space="preserve">In Multi-RX DL core WI, simulation campaign is ongoing to derive the </w:t>
      </w:r>
      <w:r w:rsidRPr="007A117C">
        <w:rPr>
          <w:lang w:eastAsia="zh-CN"/>
        </w:rPr>
        <w:t>multi-RX DL 2AoA spherical coverage</w:t>
      </w:r>
      <w:r>
        <w:rPr>
          <w:lang w:eastAsia="zh-CN"/>
        </w:rPr>
        <w:t xml:space="preserve"> requirement, where very fine measurement gri</w:t>
      </w:r>
      <w:r w:rsidR="0016252B">
        <w:rPr>
          <w:lang w:eastAsia="zh-CN"/>
        </w:rPr>
        <w:t>d is used since</w:t>
      </w:r>
      <w:r>
        <w:rPr>
          <w:lang w:eastAsia="zh-CN"/>
        </w:rPr>
        <w:t xml:space="preserve"> core requirement does not contain measurement uncertainty [</w:t>
      </w:r>
      <w:r w:rsidR="007B2BEF">
        <w:rPr>
          <w:lang w:eastAsia="zh-CN"/>
        </w:rPr>
        <w:t>2</w:t>
      </w:r>
      <w:r>
        <w:rPr>
          <w:lang w:eastAsia="zh-CN"/>
        </w:rPr>
        <w:t>]:</w:t>
      </w:r>
    </w:p>
    <w:tbl>
      <w:tblPr>
        <w:tblStyle w:val="ad"/>
        <w:tblW w:w="0" w:type="auto"/>
        <w:tblLook w:val="04A0" w:firstRow="1" w:lastRow="0" w:firstColumn="1" w:lastColumn="0" w:noHBand="0" w:noVBand="1"/>
      </w:tblPr>
      <w:tblGrid>
        <w:gridCol w:w="9622"/>
      </w:tblGrid>
      <w:tr w:rsidR="00195EDC" w14:paraId="31A25F23" w14:textId="77777777" w:rsidTr="00682759">
        <w:tc>
          <w:tcPr>
            <w:tcW w:w="9622" w:type="dxa"/>
          </w:tcPr>
          <w:p w14:paraId="52192B4C" w14:textId="77777777" w:rsidR="007A117C" w:rsidRDefault="007A117C" w:rsidP="007A117C">
            <w:pPr>
              <w:spacing w:after="0"/>
              <w:rPr>
                <w:bCs/>
                <w:color w:val="000000"/>
                <w:lang w:val="en-US" w:eastAsia="zh-CN"/>
              </w:rPr>
            </w:pPr>
            <w:r>
              <w:rPr>
                <w:rFonts w:hint="eastAsia"/>
                <w:bCs/>
                <w:color w:val="000000"/>
                <w:lang w:val="en-US" w:eastAsia="zh-CN"/>
              </w:rPr>
              <w:t>T</w:t>
            </w:r>
            <w:r>
              <w:rPr>
                <w:bCs/>
                <w:color w:val="000000"/>
                <w:lang w:val="en-US" w:eastAsia="zh-CN"/>
              </w:rPr>
              <w:t>he following procedure can be used as a guideline for simulation:</w:t>
            </w:r>
          </w:p>
          <w:p w14:paraId="2A9EDABA" w14:textId="77777777" w:rsidR="007A117C" w:rsidRDefault="007A117C" w:rsidP="007A117C">
            <w:pPr>
              <w:spacing w:after="0"/>
              <w:rPr>
                <w:bCs/>
                <w:color w:val="000000"/>
                <w:lang w:val="en-US" w:eastAsia="zh-CN"/>
              </w:rPr>
            </w:pPr>
          </w:p>
          <w:p w14:paraId="2B39DC6D" w14:textId="77777777" w:rsidR="007A117C" w:rsidRDefault="007A117C" w:rsidP="007A117C">
            <w:pPr>
              <w:pStyle w:val="af3"/>
              <w:overflowPunct w:val="0"/>
              <w:autoSpaceDE w:val="0"/>
              <w:autoSpaceDN w:val="0"/>
              <w:adjustRightInd w:val="0"/>
              <w:spacing w:after="120"/>
              <w:ind w:firstLineChars="0" w:firstLine="0"/>
              <w:rPr>
                <w:lang w:val="en-US" w:eastAsia="zh-CN"/>
              </w:rPr>
            </w:pPr>
            <w:r>
              <w:rPr>
                <w:lang w:val="en-US" w:eastAsia="zh-CN"/>
              </w:rPr>
              <w:t>1. For one UE implementation</w:t>
            </w:r>
          </w:p>
          <w:p w14:paraId="65CA06AE" w14:textId="77777777" w:rsidR="007A117C" w:rsidRDefault="007A117C" w:rsidP="007A117C">
            <w:pPr>
              <w:pStyle w:val="af3"/>
              <w:overflowPunct w:val="0"/>
              <w:autoSpaceDE w:val="0"/>
              <w:autoSpaceDN w:val="0"/>
              <w:adjustRightInd w:val="0"/>
              <w:spacing w:after="120"/>
              <w:ind w:firstLineChars="0"/>
              <w:rPr>
                <w:lang w:val="en-US" w:eastAsia="zh-CN"/>
              </w:rPr>
            </w:pPr>
            <w:r>
              <w:rPr>
                <w:lang w:val="en-US" w:eastAsia="zh-CN"/>
              </w:rPr>
              <w:t>2. For one UE orientation</w:t>
            </w:r>
          </w:p>
          <w:p w14:paraId="126F2D30" w14:textId="77777777" w:rsidR="007A117C" w:rsidRDefault="007A117C" w:rsidP="007A117C">
            <w:pPr>
              <w:pStyle w:val="af3"/>
              <w:overflowPunct w:val="0"/>
              <w:autoSpaceDE w:val="0"/>
              <w:autoSpaceDN w:val="0"/>
              <w:adjustRightInd w:val="0"/>
              <w:spacing w:after="120"/>
              <w:ind w:left="420" w:firstLineChars="0"/>
              <w:rPr>
                <w:lang w:val="en-US" w:eastAsia="zh-CN"/>
              </w:rPr>
            </w:pPr>
            <w:r>
              <w:rPr>
                <w:lang w:val="en-US" w:eastAsia="zh-CN"/>
              </w:rPr>
              <w:t xml:space="preserve"> 3. Run EM simulation to obtain per-beam antenna gain patterns</w:t>
            </w:r>
          </w:p>
          <w:p w14:paraId="4E253419" w14:textId="77777777" w:rsidR="007A117C" w:rsidRPr="007A117C" w:rsidRDefault="007A117C" w:rsidP="007A117C">
            <w:pPr>
              <w:pStyle w:val="af3"/>
              <w:numPr>
                <w:ilvl w:val="3"/>
                <w:numId w:val="36"/>
              </w:numPr>
              <w:overflowPunct w:val="0"/>
              <w:autoSpaceDE w:val="0"/>
              <w:autoSpaceDN w:val="0"/>
              <w:adjustRightInd w:val="0"/>
              <w:spacing w:after="120"/>
              <w:ind w:firstLineChars="0"/>
              <w:rPr>
                <w:highlight w:val="yellow"/>
                <w:lang w:val="sv-SE" w:eastAsia="zh-CN"/>
              </w:rPr>
            </w:pPr>
            <w:r w:rsidRPr="007A117C">
              <w:rPr>
                <w:highlight w:val="yellow"/>
                <w:lang w:val="sv-SE" w:eastAsia="zh-CN"/>
              </w:rPr>
              <w:t>Constant step size is suggested &lt;= 5°</w:t>
            </w:r>
          </w:p>
          <w:p w14:paraId="044C7CA0" w14:textId="77777777" w:rsidR="007A117C" w:rsidRDefault="007A117C" w:rsidP="007A117C">
            <w:pPr>
              <w:pStyle w:val="af3"/>
              <w:numPr>
                <w:ilvl w:val="3"/>
                <w:numId w:val="36"/>
              </w:numPr>
              <w:overflowPunct w:val="0"/>
              <w:autoSpaceDE w:val="0"/>
              <w:autoSpaceDN w:val="0"/>
              <w:adjustRightInd w:val="0"/>
              <w:spacing w:after="120"/>
              <w:ind w:firstLineChars="0"/>
              <w:rPr>
                <w:lang w:val="sv-SE" w:eastAsia="zh-CN"/>
              </w:rPr>
            </w:pPr>
            <w:r>
              <w:rPr>
                <w:lang w:val="sv-SE" w:eastAsia="zh-CN"/>
              </w:rPr>
              <w:t>Performance difference between V/H element can be considered</w:t>
            </w:r>
          </w:p>
          <w:p w14:paraId="0555BBED" w14:textId="77777777" w:rsidR="007A117C" w:rsidRDefault="007A117C" w:rsidP="007A117C">
            <w:pPr>
              <w:pStyle w:val="af3"/>
              <w:numPr>
                <w:ilvl w:val="3"/>
                <w:numId w:val="36"/>
              </w:numPr>
              <w:overflowPunct w:val="0"/>
              <w:autoSpaceDE w:val="0"/>
              <w:autoSpaceDN w:val="0"/>
              <w:adjustRightInd w:val="0"/>
              <w:spacing w:after="120"/>
              <w:ind w:firstLineChars="0"/>
              <w:rPr>
                <w:lang w:val="sv-SE" w:eastAsia="zh-CN"/>
              </w:rPr>
            </w:pPr>
            <w:r>
              <w:rPr>
                <w:lang w:val="sv-SE" w:eastAsia="zh-CN"/>
              </w:rPr>
              <w:t>Normalize antenna gain to align with the gain drop between peak EIS and spherical coverage in current spec (option 1 in 2.6)</w:t>
            </w:r>
          </w:p>
          <w:p w14:paraId="4517369C" w14:textId="77777777" w:rsidR="007A117C" w:rsidRDefault="007A117C" w:rsidP="007A117C">
            <w:pPr>
              <w:pStyle w:val="af3"/>
              <w:numPr>
                <w:ilvl w:val="4"/>
                <w:numId w:val="36"/>
              </w:numPr>
              <w:overflowPunct w:val="0"/>
              <w:autoSpaceDE w:val="0"/>
              <w:autoSpaceDN w:val="0"/>
              <w:adjustRightInd w:val="0"/>
              <w:spacing w:after="120"/>
              <w:ind w:firstLineChars="0"/>
              <w:rPr>
                <w:lang w:val="sv-SE" w:eastAsia="zh-CN"/>
              </w:rPr>
            </w:pPr>
            <w:r>
              <w:rPr>
                <w:lang w:val="sv-SE" w:eastAsia="zh-CN"/>
              </w:rPr>
              <w:t>Other calibration method that described in 2.6 also can be used.</w:t>
            </w:r>
          </w:p>
          <w:p w14:paraId="2696CB66" w14:textId="77777777" w:rsidR="007A117C" w:rsidRDefault="007A117C" w:rsidP="007A117C">
            <w:pPr>
              <w:pStyle w:val="af3"/>
              <w:overflowPunct w:val="0"/>
              <w:autoSpaceDE w:val="0"/>
              <w:autoSpaceDN w:val="0"/>
              <w:adjustRightInd w:val="0"/>
              <w:spacing w:after="120"/>
              <w:ind w:left="1260" w:firstLineChars="0"/>
              <w:rPr>
                <w:lang w:val="en-US" w:eastAsia="zh-CN"/>
              </w:rPr>
            </w:pPr>
            <w:r>
              <w:rPr>
                <w:lang w:val="en-US" w:eastAsia="zh-CN"/>
              </w:rPr>
              <w:t>4. For one angular separation</w:t>
            </w:r>
          </w:p>
          <w:p w14:paraId="0205E1E6" w14:textId="77777777" w:rsidR="007A117C" w:rsidRDefault="007A117C" w:rsidP="007A117C">
            <w:pPr>
              <w:pStyle w:val="af3"/>
              <w:overflowPunct w:val="0"/>
              <w:autoSpaceDE w:val="0"/>
              <w:autoSpaceDN w:val="0"/>
              <w:adjustRightInd w:val="0"/>
              <w:spacing w:after="120"/>
              <w:ind w:left="2100" w:firstLineChars="0"/>
              <w:rPr>
                <w:lang w:val="en-US" w:eastAsia="zh-CN"/>
              </w:rPr>
            </w:pPr>
            <w:r>
              <w:rPr>
                <w:lang w:val="en-US" w:eastAsia="zh-CN"/>
              </w:rPr>
              <w:t>5. For one test grid point in 3D scan</w:t>
            </w:r>
          </w:p>
          <w:p w14:paraId="36B7DFDD" w14:textId="77777777" w:rsidR="007A117C" w:rsidRPr="00A85579" w:rsidRDefault="007A117C" w:rsidP="007A117C">
            <w:pPr>
              <w:pStyle w:val="af3"/>
              <w:numPr>
                <w:ilvl w:val="0"/>
                <w:numId w:val="37"/>
              </w:numPr>
              <w:overflowPunct w:val="0"/>
              <w:autoSpaceDE w:val="0"/>
              <w:autoSpaceDN w:val="0"/>
              <w:adjustRightInd w:val="0"/>
              <w:spacing w:after="120"/>
              <w:ind w:firstLineChars="0"/>
              <w:rPr>
                <w:lang w:val="en-US" w:eastAsia="zh-CN"/>
              </w:rPr>
            </w:pPr>
            <w:r>
              <w:rPr>
                <w:lang w:val="en-US" w:eastAsia="zh-CN"/>
              </w:rPr>
              <w:t>Select beam based on RSRP (or SINR)</w:t>
            </w:r>
          </w:p>
          <w:p w14:paraId="4713FAAD" w14:textId="77777777" w:rsidR="007A117C" w:rsidRDefault="007A117C" w:rsidP="007A117C">
            <w:pPr>
              <w:pStyle w:val="af3"/>
              <w:overflowPunct w:val="0"/>
              <w:autoSpaceDE w:val="0"/>
              <w:autoSpaceDN w:val="0"/>
              <w:adjustRightInd w:val="0"/>
              <w:spacing w:after="120"/>
              <w:ind w:left="2520" w:firstLineChars="0"/>
              <w:rPr>
                <w:lang w:val="en-US" w:eastAsia="zh-CN"/>
              </w:rPr>
            </w:pPr>
            <w:r>
              <w:rPr>
                <w:lang w:val="en-US" w:eastAsia="zh-CN"/>
              </w:rPr>
              <w:t>5.1 Calculate SINR of AoA+ and AoA- respectively</w:t>
            </w:r>
          </w:p>
          <w:p w14:paraId="6484A413" w14:textId="77777777" w:rsidR="007A117C" w:rsidRPr="0010360C" w:rsidRDefault="007A117C" w:rsidP="007A117C">
            <w:pPr>
              <w:pStyle w:val="af3"/>
              <w:numPr>
                <w:ilvl w:val="0"/>
                <w:numId w:val="38"/>
              </w:numPr>
              <w:overflowPunct w:val="0"/>
              <w:autoSpaceDE w:val="0"/>
              <w:autoSpaceDN w:val="0"/>
              <w:adjustRightInd w:val="0"/>
              <w:spacing w:after="120"/>
              <w:ind w:firstLineChars="0"/>
              <w:rPr>
                <w:lang w:val="en-US" w:eastAsia="zh-CN"/>
              </w:rPr>
            </w:pPr>
            <w:r>
              <w:rPr>
                <w:lang w:val="sv-SE" w:eastAsia="zh-CN"/>
              </w:rPr>
              <w:t xml:space="preserve">SINR = </w:t>
            </w:r>
            <w:r>
              <w:t>P_signal/(Noise + P_interf)</w:t>
            </w:r>
          </w:p>
          <w:p w14:paraId="4F9755F4" w14:textId="77777777" w:rsidR="007A117C" w:rsidRPr="0010360C" w:rsidRDefault="007A117C" w:rsidP="007A117C">
            <w:pPr>
              <w:pStyle w:val="af3"/>
              <w:overflowPunct w:val="0"/>
              <w:autoSpaceDE w:val="0"/>
              <w:autoSpaceDN w:val="0"/>
              <w:adjustRightInd w:val="0"/>
              <w:spacing w:after="120"/>
              <w:ind w:left="3780" w:firstLineChars="0" w:firstLine="0"/>
              <w:rPr>
                <w:lang w:val="en-US" w:eastAsia="zh-CN"/>
              </w:rPr>
            </w:pPr>
            <w:r>
              <w:rPr>
                <w:lang w:val="en-US" w:eastAsia="zh-CN"/>
              </w:rPr>
              <w:t xml:space="preserve">Where the P_signal is the power of wanted signal and the P_interf is the power of interference, </w:t>
            </w:r>
            <w:r>
              <w:t>Noise</w:t>
            </w:r>
            <w:r>
              <w:rPr>
                <w:rFonts w:hint="eastAsia"/>
                <w:lang w:eastAsia="zh-CN"/>
              </w:rPr>
              <w:t>(</w:t>
            </w:r>
            <w:r>
              <w:rPr>
                <w:lang w:eastAsia="zh-CN"/>
              </w:rPr>
              <w:t>dBm)</w:t>
            </w:r>
            <w:r>
              <w:rPr>
                <w:lang w:val="en-US" w:eastAsia="zh-CN"/>
              </w:rPr>
              <w:t xml:space="preserve">= </w:t>
            </w:r>
            <w:r>
              <w:rPr>
                <w:lang w:val="sv-SE" w:eastAsia="zh-CN"/>
              </w:rPr>
              <w:t xml:space="preserve">-174 +10*log10(CBW) +NF, </w:t>
            </w:r>
            <w:r>
              <w:rPr>
                <w:lang w:val="en-US" w:eastAsia="zh-CN"/>
              </w:rPr>
              <w:t>CBW is channel bandwidth, NF =10</w:t>
            </w:r>
          </w:p>
          <w:p w14:paraId="7BC93E70" w14:textId="77777777" w:rsidR="007A117C" w:rsidRDefault="007A117C" w:rsidP="007A117C">
            <w:pPr>
              <w:pStyle w:val="af3"/>
              <w:numPr>
                <w:ilvl w:val="1"/>
                <w:numId w:val="39"/>
              </w:numPr>
              <w:overflowPunct w:val="0"/>
              <w:autoSpaceDE w:val="0"/>
              <w:autoSpaceDN w:val="0"/>
              <w:adjustRightInd w:val="0"/>
              <w:spacing w:after="120"/>
              <w:ind w:firstLineChars="0"/>
              <w:rPr>
                <w:lang w:val="sv-SE" w:eastAsia="zh-CN"/>
              </w:rPr>
            </w:pPr>
            <w:r>
              <w:rPr>
                <w:lang w:val="sv-SE" w:eastAsia="zh-CN"/>
              </w:rPr>
              <w:t>If SINR&gt;=-1, PASS, otherwise, FAIL</w:t>
            </w:r>
          </w:p>
          <w:p w14:paraId="726D55DB" w14:textId="77777777" w:rsidR="007A117C" w:rsidRDefault="007A117C" w:rsidP="007A117C">
            <w:pPr>
              <w:overflowPunct w:val="0"/>
              <w:autoSpaceDE w:val="0"/>
              <w:autoSpaceDN w:val="0"/>
              <w:adjustRightInd w:val="0"/>
              <w:spacing w:after="120"/>
              <w:ind w:left="2520" w:firstLine="420"/>
              <w:rPr>
                <w:lang w:val="sv-SE" w:eastAsia="zh-CN"/>
              </w:rPr>
            </w:pPr>
            <w:r>
              <w:rPr>
                <w:lang w:val="sv-SE" w:eastAsia="zh-CN"/>
              </w:rPr>
              <w:t xml:space="preserve">5.3a </w:t>
            </w:r>
            <w:r w:rsidRPr="005B1005">
              <w:rPr>
                <w:lang w:val="sv-SE" w:eastAsia="zh-CN"/>
              </w:rPr>
              <w:t>OR combining the results of AoA+ and AoA-</w:t>
            </w:r>
          </w:p>
          <w:p w14:paraId="6783A678" w14:textId="77777777" w:rsidR="007A117C" w:rsidRPr="005B1005" w:rsidRDefault="007A117C" w:rsidP="007A117C">
            <w:pPr>
              <w:overflowPunct w:val="0"/>
              <w:autoSpaceDE w:val="0"/>
              <w:autoSpaceDN w:val="0"/>
              <w:adjustRightInd w:val="0"/>
              <w:spacing w:after="120"/>
              <w:ind w:left="2520" w:firstLine="420"/>
              <w:rPr>
                <w:lang w:val="sv-SE" w:eastAsia="zh-CN"/>
              </w:rPr>
            </w:pPr>
            <w:r>
              <w:rPr>
                <w:rFonts w:hint="eastAsia"/>
                <w:lang w:val="sv-SE" w:eastAsia="zh-CN"/>
              </w:rPr>
              <w:lastRenderedPageBreak/>
              <w:t>5</w:t>
            </w:r>
            <w:r>
              <w:rPr>
                <w:lang w:val="sv-SE" w:eastAsia="zh-CN"/>
              </w:rPr>
              <w:t>.3b</w:t>
            </w:r>
            <w:r w:rsidRPr="00392358">
              <w:t xml:space="preserve"> </w:t>
            </w:r>
            <w:r w:rsidRPr="00392358">
              <w:rPr>
                <w:lang w:val="sv-SE" w:eastAsia="zh-CN"/>
              </w:rPr>
              <w:t>No logic combination of the results of AoA+ and AoA-, but treat them as two separate points (e.g., arithmetic mean)</w:t>
            </w:r>
          </w:p>
          <w:p w14:paraId="409649CC" w14:textId="77777777" w:rsidR="007A117C" w:rsidRDefault="007A117C" w:rsidP="007A117C">
            <w:pPr>
              <w:pStyle w:val="af3"/>
              <w:numPr>
                <w:ilvl w:val="0"/>
                <w:numId w:val="38"/>
              </w:numPr>
              <w:overflowPunct w:val="0"/>
              <w:autoSpaceDE w:val="0"/>
              <w:autoSpaceDN w:val="0"/>
              <w:adjustRightInd w:val="0"/>
              <w:spacing w:after="120"/>
              <w:ind w:firstLineChars="0"/>
              <w:rPr>
                <w:lang w:val="sv-SE" w:eastAsia="zh-CN"/>
              </w:rPr>
            </w:pPr>
            <w:r>
              <w:rPr>
                <w:lang w:val="sv-SE" w:eastAsia="zh-CN"/>
              </w:rPr>
              <w:t>Other methods for +/- offset data are not precluded</w:t>
            </w:r>
          </w:p>
          <w:p w14:paraId="6099E8C8" w14:textId="77777777" w:rsidR="007A117C" w:rsidRPr="005B1005" w:rsidRDefault="007A117C" w:rsidP="007A117C">
            <w:pPr>
              <w:pStyle w:val="af3"/>
              <w:numPr>
                <w:ilvl w:val="0"/>
                <w:numId w:val="38"/>
              </w:numPr>
              <w:ind w:firstLineChars="0"/>
              <w:rPr>
                <w:lang w:val="sv-SE" w:eastAsia="zh-CN"/>
              </w:rPr>
            </w:pPr>
            <w:r w:rsidRPr="00392358">
              <w:rPr>
                <w:lang w:val="sv-SE" w:eastAsia="zh-CN"/>
              </w:rPr>
              <w:t xml:space="preserve">Companies are encouraging to provide analysis on the pros and cons for each “combination” method </w:t>
            </w:r>
          </w:p>
          <w:p w14:paraId="0B841A0D" w14:textId="77777777" w:rsidR="007A117C" w:rsidRDefault="007A117C" w:rsidP="007A117C">
            <w:pPr>
              <w:pStyle w:val="af3"/>
              <w:overflowPunct w:val="0"/>
              <w:autoSpaceDE w:val="0"/>
              <w:autoSpaceDN w:val="0"/>
              <w:adjustRightInd w:val="0"/>
              <w:spacing w:after="120"/>
              <w:ind w:left="2520" w:firstLineChars="0"/>
              <w:rPr>
                <w:lang w:val="en-US" w:eastAsia="zh-CN"/>
              </w:rPr>
            </w:pPr>
            <w:r>
              <w:rPr>
                <w:lang w:val="en-US" w:eastAsia="zh-CN"/>
              </w:rPr>
              <w:t xml:space="preserve">5.4 </w:t>
            </w:r>
            <w:r w:rsidRPr="007D1A86">
              <w:rPr>
                <w:highlight w:val="yellow"/>
                <w:lang w:val="en-US" w:eastAsia="zh-CN"/>
              </w:rPr>
              <w:t xml:space="preserve">Add weighting (sin θ or </w:t>
            </w:r>
            <w:r w:rsidRPr="007D1A86">
              <w:rPr>
                <w:szCs w:val="24"/>
                <w:highlight w:val="yellow"/>
                <w:lang w:eastAsia="zh-CN"/>
              </w:rPr>
              <w:t>Clenshaw-Curtis Quadrature</w:t>
            </w:r>
            <w:r w:rsidRPr="007D1A86">
              <w:rPr>
                <w:highlight w:val="yellow"/>
                <w:lang w:val="en-US" w:eastAsia="zh-CN"/>
              </w:rPr>
              <w:t>)</w:t>
            </w:r>
          </w:p>
          <w:p w14:paraId="65E80C95" w14:textId="77777777" w:rsidR="007A117C" w:rsidRDefault="007A117C" w:rsidP="007A117C">
            <w:pPr>
              <w:pStyle w:val="af3"/>
              <w:overflowPunct w:val="0"/>
              <w:autoSpaceDE w:val="0"/>
              <w:autoSpaceDN w:val="0"/>
              <w:adjustRightInd w:val="0"/>
              <w:spacing w:after="120"/>
              <w:ind w:left="2100" w:firstLineChars="0"/>
              <w:rPr>
                <w:lang w:val="en-US" w:eastAsia="zh-CN"/>
              </w:rPr>
            </w:pPr>
            <w:r>
              <w:rPr>
                <w:lang w:val="en-US" w:eastAsia="zh-CN"/>
              </w:rPr>
              <w:t>6. Repeat for other test grid point</w:t>
            </w:r>
          </w:p>
          <w:p w14:paraId="1237A23F" w14:textId="77777777" w:rsidR="007A117C" w:rsidRDefault="007A117C" w:rsidP="007A117C">
            <w:pPr>
              <w:pStyle w:val="af3"/>
              <w:overflowPunct w:val="0"/>
              <w:autoSpaceDE w:val="0"/>
              <w:autoSpaceDN w:val="0"/>
              <w:adjustRightInd w:val="0"/>
              <w:spacing w:after="120"/>
              <w:ind w:left="1680" w:firstLineChars="0"/>
              <w:rPr>
                <w:lang w:val="en-US" w:eastAsia="zh-CN"/>
              </w:rPr>
            </w:pPr>
            <w:r>
              <w:rPr>
                <w:lang w:val="en-US" w:eastAsia="zh-CN"/>
              </w:rPr>
              <w:t>7. Calculate the spherical coverage percentage</w:t>
            </w:r>
          </w:p>
          <w:p w14:paraId="7B5816DC" w14:textId="77777777" w:rsidR="007A117C" w:rsidRDefault="007A117C" w:rsidP="007A117C">
            <w:pPr>
              <w:pStyle w:val="af3"/>
              <w:overflowPunct w:val="0"/>
              <w:autoSpaceDE w:val="0"/>
              <w:autoSpaceDN w:val="0"/>
              <w:adjustRightInd w:val="0"/>
              <w:spacing w:after="120"/>
              <w:ind w:left="1260" w:firstLineChars="0"/>
              <w:rPr>
                <w:lang w:val="en-US" w:eastAsia="zh-CN"/>
              </w:rPr>
            </w:pPr>
            <w:r>
              <w:rPr>
                <w:lang w:val="en-US" w:eastAsia="zh-CN"/>
              </w:rPr>
              <w:t>8. Repeat for other angular separation</w:t>
            </w:r>
          </w:p>
          <w:p w14:paraId="7D71FD2A" w14:textId="77777777" w:rsidR="007A117C" w:rsidRDefault="007A117C" w:rsidP="007A117C">
            <w:pPr>
              <w:pStyle w:val="af3"/>
              <w:overflowPunct w:val="0"/>
              <w:autoSpaceDE w:val="0"/>
              <w:autoSpaceDN w:val="0"/>
              <w:adjustRightInd w:val="0"/>
              <w:spacing w:after="120"/>
              <w:ind w:firstLineChars="0"/>
              <w:rPr>
                <w:lang w:val="en-US" w:eastAsia="zh-CN"/>
              </w:rPr>
            </w:pPr>
            <w:r>
              <w:rPr>
                <w:lang w:val="en-US" w:eastAsia="zh-CN"/>
              </w:rPr>
              <w:t>9. Repeat for other UE orientations</w:t>
            </w:r>
          </w:p>
          <w:p w14:paraId="190A2F38" w14:textId="77777777" w:rsidR="007A117C" w:rsidRDefault="007A117C" w:rsidP="007A117C">
            <w:pPr>
              <w:pStyle w:val="af3"/>
              <w:overflowPunct w:val="0"/>
              <w:autoSpaceDE w:val="0"/>
              <w:autoSpaceDN w:val="0"/>
              <w:adjustRightInd w:val="0"/>
              <w:spacing w:after="120"/>
              <w:ind w:firstLineChars="0" w:firstLine="0"/>
              <w:rPr>
                <w:lang w:val="en-US" w:eastAsia="zh-CN"/>
              </w:rPr>
            </w:pPr>
            <w:r>
              <w:rPr>
                <w:lang w:val="en-US" w:eastAsia="zh-CN"/>
              </w:rPr>
              <w:t>10. Repeat for other UE implementations</w:t>
            </w:r>
            <w:r>
              <w:rPr>
                <w:lang w:val="en-US" w:eastAsia="zh-CN"/>
              </w:rPr>
              <w:tab/>
            </w:r>
          </w:p>
          <w:p w14:paraId="0B28A72F" w14:textId="44E1FBB8" w:rsidR="003C068E" w:rsidRPr="007A117C" w:rsidRDefault="003C068E" w:rsidP="007A117C">
            <w:pPr>
              <w:overflowPunct w:val="0"/>
              <w:autoSpaceDE w:val="0"/>
              <w:autoSpaceDN w:val="0"/>
              <w:adjustRightInd w:val="0"/>
              <w:spacing w:after="0"/>
              <w:textAlignment w:val="baseline"/>
              <w:rPr>
                <w:rFonts w:eastAsiaTheme="minorEastAsia"/>
                <w:lang w:val="en-US" w:eastAsia="zh-CN"/>
              </w:rPr>
            </w:pPr>
          </w:p>
        </w:tc>
      </w:tr>
    </w:tbl>
    <w:p w14:paraId="3D2889DF" w14:textId="77777777" w:rsidR="00195EDC" w:rsidRDefault="00195EDC" w:rsidP="00195EDC">
      <w:pPr>
        <w:rPr>
          <w:rFonts w:eastAsiaTheme="minorEastAsia"/>
          <w:lang w:eastAsia="zh-CN"/>
        </w:rPr>
      </w:pPr>
    </w:p>
    <w:p w14:paraId="4148E44A" w14:textId="18BFB548" w:rsidR="007A117C" w:rsidRDefault="007A117C" w:rsidP="00E16A3E">
      <w:pPr>
        <w:rPr>
          <w:lang w:eastAsia="zh-CN"/>
        </w:rPr>
      </w:pPr>
      <w:r>
        <w:rPr>
          <w:rFonts w:hint="eastAsia"/>
          <w:lang w:eastAsia="zh-CN"/>
        </w:rPr>
        <w:t>F</w:t>
      </w:r>
      <w:r>
        <w:rPr>
          <w:lang w:eastAsia="zh-CN"/>
        </w:rPr>
        <w:t xml:space="preserve">rom test perspective in OTA test SI, practical measurement grid should be considered </w:t>
      </w:r>
      <w:r w:rsidR="0016252B">
        <w:rPr>
          <w:lang w:eastAsia="zh-CN"/>
        </w:rPr>
        <w:t xml:space="preserve">with a reasonable measurement uncertainty due to finite measurement grid points. </w:t>
      </w:r>
    </w:p>
    <w:p w14:paraId="246AC40D" w14:textId="467943B7" w:rsidR="007A117C" w:rsidRDefault="0016252B" w:rsidP="00E16A3E">
      <w:pPr>
        <w:rPr>
          <w:lang w:eastAsia="zh-CN"/>
        </w:rPr>
      </w:pPr>
      <w:r>
        <w:rPr>
          <w:lang w:eastAsia="zh-CN"/>
        </w:rPr>
        <w:t xml:space="preserve">In legacy 1AoA EIS spherical coverage, measurement grid analysis is provided in TR38.810 and </w:t>
      </w:r>
      <w:r w:rsidR="00CA2CAC" w:rsidRPr="00CA2CAC">
        <w:rPr>
          <w:lang w:eastAsia="zh-CN"/>
        </w:rPr>
        <w:t>266 grid points</w:t>
      </w:r>
      <w:r w:rsidR="00CA2CAC">
        <w:rPr>
          <w:lang w:eastAsia="zh-CN"/>
        </w:rPr>
        <w:t xml:space="preserve"> for constant step size grid (corresponding to 15deg step size) are recommended based on a reasonable standard deviation in dB.</w:t>
      </w:r>
    </w:p>
    <w:tbl>
      <w:tblPr>
        <w:tblStyle w:val="ad"/>
        <w:tblW w:w="0" w:type="auto"/>
        <w:tblLook w:val="04A0" w:firstRow="1" w:lastRow="0" w:firstColumn="1" w:lastColumn="0" w:noHBand="0" w:noVBand="1"/>
      </w:tblPr>
      <w:tblGrid>
        <w:gridCol w:w="9622"/>
      </w:tblGrid>
      <w:tr w:rsidR="0016252B" w14:paraId="6D8B761B" w14:textId="77777777" w:rsidTr="0016252B">
        <w:tc>
          <w:tcPr>
            <w:tcW w:w="9622" w:type="dxa"/>
          </w:tcPr>
          <w:p w14:paraId="1A3EC9F2" w14:textId="77777777" w:rsidR="0016252B" w:rsidRPr="00684CEA" w:rsidRDefault="0016252B" w:rsidP="0016252B">
            <w:pPr>
              <w:pStyle w:val="4"/>
            </w:pPr>
            <w:bookmarkStart w:id="1" w:name="_Toc21020408"/>
            <w:bookmarkStart w:id="2" w:name="_Toc29813240"/>
            <w:bookmarkStart w:id="3" w:name="_Toc29813506"/>
            <w:bookmarkStart w:id="4" w:name="_Toc52565724"/>
            <w:r w:rsidRPr="00684CEA">
              <w:t>G.3.3.2.3</w:t>
            </w:r>
            <w:r w:rsidRPr="00684CEA">
              <w:tab/>
              <w:t>Conclusions</w:t>
            </w:r>
            <w:bookmarkEnd w:id="1"/>
            <w:bookmarkEnd w:id="2"/>
            <w:bookmarkEnd w:id="3"/>
            <w:bookmarkEnd w:id="4"/>
          </w:p>
          <w:p w14:paraId="75D5FE2F" w14:textId="77777777" w:rsidR="0016252B" w:rsidRPr="00684CEA" w:rsidRDefault="0016252B" w:rsidP="0016252B">
            <w:r w:rsidRPr="00684CEA">
              <w:t xml:space="preserve">According to results in </w:t>
            </w:r>
            <w:r>
              <w:t>clause</w:t>
            </w:r>
            <w:r w:rsidRPr="00684CEA">
              <w:t xml:space="preserve"> G.3.3.2.1 and G.3.3.2.2, the following conclusions can be made:</w:t>
            </w:r>
          </w:p>
          <w:p w14:paraId="2D8556E6" w14:textId="77777777" w:rsidR="0016252B" w:rsidRPr="00684CEA" w:rsidRDefault="0016252B" w:rsidP="0016252B">
            <w:pPr>
              <w:pStyle w:val="B1"/>
              <w:rPr>
                <w:b/>
              </w:rPr>
            </w:pPr>
            <w:r w:rsidRPr="00684CEA">
              <w:t>-</w:t>
            </w:r>
            <w:r w:rsidRPr="00684CEA">
              <w:tab/>
              <w:t>The EIS spherical coverage measurement to be performed without having to have the beam peak placed on a grid point, e.g., for coarse grids of beam peak searches.</w:t>
            </w:r>
          </w:p>
          <w:p w14:paraId="6F6378EA" w14:textId="77777777" w:rsidR="0016252B" w:rsidRPr="00684CEA" w:rsidRDefault="0016252B" w:rsidP="0016252B">
            <w:pPr>
              <w:pStyle w:val="B1"/>
            </w:pPr>
            <w:r w:rsidRPr="00684CEA">
              <w:t>-</w:t>
            </w:r>
            <w:r w:rsidRPr="00684CEA">
              <w:tab/>
              <w:t>In order to make a reasonable trade-off with measurement uncertainties, it is recommended to use for spherical coverage grids with at least 200 unique measurement points, i.e.,</w:t>
            </w:r>
          </w:p>
          <w:p w14:paraId="56228E29" w14:textId="77777777" w:rsidR="0016252B" w:rsidRPr="00684CEA" w:rsidRDefault="0016252B" w:rsidP="0016252B">
            <w:pPr>
              <w:pStyle w:val="B2"/>
            </w:pPr>
            <w:r w:rsidRPr="00684CEA">
              <w:t>-</w:t>
            </w:r>
            <w:r w:rsidRPr="00684CEA">
              <w:tab/>
              <w:t>constant density grid with at least 200 grid points: STD of 0.1dB and Mean Error: DL power step size</w:t>
            </w:r>
          </w:p>
          <w:p w14:paraId="06B49D21" w14:textId="77777777" w:rsidR="0016252B" w:rsidRPr="00684CEA" w:rsidRDefault="0016252B" w:rsidP="0016252B">
            <w:pPr>
              <w:pStyle w:val="B2"/>
            </w:pPr>
            <w:r w:rsidRPr="00684CEA">
              <w:t>-</w:t>
            </w:r>
            <w:r w:rsidRPr="00684CEA">
              <w:tab/>
            </w:r>
            <w:r w:rsidRPr="00CA2CAC">
              <w:rPr>
                <w:highlight w:val="yellow"/>
              </w:rPr>
              <w:t>constant step size grid with at least 266 grid points: STD of 0.12dB</w:t>
            </w:r>
            <w:r w:rsidRPr="00684CEA">
              <w:t xml:space="preserve"> and Mean Error: DL power step size</w:t>
            </w:r>
          </w:p>
          <w:p w14:paraId="2674E53F" w14:textId="77777777" w:rsidR="0016252B" w:rsidRPr="0016252B" w:rsidRDefault="0016252B" w:rsidP="00E16A3E">
            <w:pPr>
              <w:rPr>
                <w:lang w:eastAsia="zh-CN"/>
              </w:rPr>
            </w:pPr>
          </w:p>
        </w:tc>
      </w:tr>
    </w:tbl>
    <w:p w14:paraId="36F65E7F" w14:textId="77777777" w:rsidR="0016252B" w:rsidRDefault="0016252B" w:rsidP="00E16A3E">
      <w:pPr>
        <w:rPr>
          <w:lang w:eastAsia="zh-CN"/>
        </w:rPr>
      </w:pPr>
    </w:p>
    <w:p w14:paraId="78AB2654" w14:textId="6806CF75" w:rsidR="0016252B" w:rsidRDefault="00CA2CAC" w:rsidP="00E16A3E">
      <w:pPr>
        <w:rPr>
          <w:lang w:eastAsia="zh-CN"/>
        </w:rPr>
      </w:pPr>
      <w:r>
        <w:rPr>
          <w:rFonts w:hint="eastAsia"/>
          <w:lang w:eastAsia="zh-CN"/>
        </w:rPr>
        <w:t>F</w:t>
      </w:r>
      <w:r>
        <w:rPr>
          <w:lang w:eastAsia="zh-CN"/>
        </w:rPr>
        <w:t>or multi-RX DL 2AoA spherical coverage, the requirement metric has been changed from sensitivity measurement to throughput measurement based on go no-go approach, and the final spherical coverage test result in not in dBm unit but in percentage.</w:t>
      </w:r>
    </w:p>
    <w:p w14:paraId="27AE2B35" w14:textId="27EDFBA3" w:rsidR="00C04E77" w:rsidRDefault="00C04E77" w:rsidP="00C04E77">
      <w:pPr>
        <w:spacing w:after="120"/>
        <w:ind w:left="1418" w:hanging="1418"/>
        <w:rPr>
          <w:lang w:eastAsia="zh-CN"/>
        </w:rPr>
      </w:pPr>
      <w:r>
        <w:rPr>
          <w:b/>
          <w:bCs/>
        </w:rPr>
        <w:t>Observation 1</w:t>
      </w:r>
      <w:r w:rsidRPr="00DF1B01">
        <w:rPr>
          <w:b/>
          <w:bCs/>
        </w:rPr>
        <w:t>:</w:t>
      </w:r>
      <w:r w:rsidRPr="00DF1B01">
        <w:rPr>
          <w:b/>
          <w:bCs/>
        </w:rPr>
        <w:tab/>
      </w:r>
      <w:r w:rsidRPr="00C04E77">
        <w:rPr>
          <w:b/>
          <w:lang w:eastAsia="zh-CN"/>
        </w:rPr>
        <w:t>multi-RX DL 2AoA</w:t>
      </w:r>
      <w:r w:rsidRPr="00C04E77">
        <w:rPr>
          <w:b/>
          <w:bCs/>
        </w:rPr>
        <w:t xml:space="preserve"> spherical coverage test result in not in dBm unit but in percentage</w:t>
      </w:r>
      <w:r w:rsidRPr="006933DF">
        <w:rPr>
          <w:b/>
          <w:lang w:eastAsia="zh-CN"/>
        </w:rPr>
        <w:t>.</w:t>
      </w:r>
    </w:p>
    <w:p w14:paraId="58EA6611" w14:textId="10A94C9A" w:rsidR="0016252B" w:rsidRDefault="00C04E77" w:rsidP="00E16A3E">
      <w:pPr>
        <w:rPr>
          <w:lang w:eastAsia="zh-CN"/>
        </w:rPr>
      </w:pPr>
      <w:r>
        <w:rPr>
          <w:lang w:eastAsia="zh-CN"/>
        </w:rPr>
        <w:t xml:space="preserve">In legacy 1AoA EIS spherical coverage, measurement grid analysis is </w:t>
      </w:r>
      <w:r w:rsidR="007B2BEF">
        <w:rPr>
          <w:lang w:eastAsia="zh-CN"/>
        </w:rPr>
        <w:t>done by simulating</w:t>
      </w:r>
      <w:r>
        <w:rPr>
          <w:lang w:eastAsia="zh-CN"/>
        </w:rPr>
        <w:t xml:space="preserve"> the deviation based on numerous random UE orientation, however, UE orientation itself is part of core-requirement</w:t>
      </w:r>
      <w:r w:rsidR="007B2BEF">
        <w:rPr>
          <w:lang w:eastAsia="zh-CN"/>
        </w:rPr>
        <w:t xml:space="preserve"> for multi-RX 2AoA case</w:t>
      </w:r>
      <w:r>
        <w:rPr>
          <w:lang w:eastAsia="zh-CN"/>
        </w:rPr>
        <w:t>.</w:t>
      </w:r>
    </w:p>
    <w:p w14:paraId="3B07FBA5" w14:textId="4416518D" w:rsidR="00C04E77" w:rsidRDefault="00C04E77" w:rsidP="00C04E77">
      <w:pPr>
        <w:spacing w:after="120"/>
        <w:ind w:left="1418" w:hanging="1418"/>
        <w:rPr>
          <w:lang w:eastAsia="zh-CN"/>
        </w:rPr>
      </w:pPr>
      <w:r>
        <w:rPr>
          <w:b/>
          <w:bCs/>
        </w:rPr>
        <w:t>Observation 2</w:t>
      </w:r>
      <w:r w:rsidRPr="00DF1B01">
        <w:rPr>
          <w:b/>
          <w:bCs/>
        </w:rPr>
        <w:t>:</w:t>
      </w:r>
      <w:r w:rsidRPr="00DF1B01">
        <w:rPr>
          <w:b/>
          <w:bCs/>
        </w:rPr>
        <w:tab/>
      </w:r>
      <w:r w:rsidRPr="00C04E77">
        <w:rPr>
          <w:b/>
          <w:lang w:eastAsia="zh-CN"/>
        </w:rPr>
        <w:t xml:space="preserve">UE orientation itself is part of </w:t>
      </w:r>
      <w:r>
        <w:rPr>
          <w:b/>
          <w:lang w:eastAsia="zh-CN"/>
        </w:rPr>
        <w:t xml:space="preserve">Multi-RX </w:t>
      </w:r>
      <w:r w:rsidRPr="00C04E77">
        <w:rPr>
          <w:b/>
          <w:lang w:eastAsia="zh-CN"/>
        </w:rPr>
        <w:t>core-requirement</w:t>
      </w:r>
      <w:r>
        <w:rPr>
          <w:b/>
          <w:lang w:eastAsia="zh-CN"/>
        </w:rPr>
        <w:t xml:space="preserve"> and hence deviation analysis based on numerous random orientation may be not doable</w:t>
      </w:r>
      <w:r w:rsidRPr="006933DF">
        <w:rPr>
          <w:b/>
          <w:lang w:eastAsia="zh-CN"/>
        </w:rPr>
        <w:t>.</w:t>
      </w:r>
    </w:p>
    <w:p w14:paraId="335A7644" w14:textId="52A85E98" w:rsidR="0016252B" w:rsidRDefault="000E20AD" w:rsidP="00E16A3E">
      <w:pPr>
        <w:rPr>
          <w:lang w:eastAsia="zh-CN"/>
        </w:rPr>
      </w:pPr>
      <w:r>
        <w:rPr>
          <w:lang w:eastAsia="zh-CN"/>
        </w:rPr>
        <w:t>I</w:t>
      </w:r>
      <w:r w:rsidR="00FC2606">
        <w:rPr>
          <w:lang w:eastAsia="zh-CN"/>
        </w:rPr>
        <w:t xml:space="preserve">t seems necessary to further discuss how </w:t>
      </w:r>
      <w:r>
        <w:rPr>
          <w:lang w:eastAsia="zh-CN"/>
        </w:rPr>
        <w:t>the measurement grid analysis could be done for multi-RX DL 2Ao</w:t>
      </w:r>
      <w:r>
        <w:rPr>
          <w:rFonts w:hint="eastAsia"/>
          <w:lang w:eastAsia="zh-CN"/>
        </w:rPr>
        <w:t>A</w:t>
      </w:r>
      <w:r>
        <w:rPr>
          <w:lang w:eastAsia="zh-CN"/>
        </w:rPr>
        <w:t xml:space="preserve"> spherical coverage. Given random orientation is not feasible, maybe one way to move forward is to compare the simulation results difference between fine grids and coarse grids for companies who is involved in core requirement simulation campaign. And the difference between fine grids and coarse grids from companies could provide a rough level how measurement error due to measurement grid could be. Fine grids are suggested with &lt;=2deg step size, and course grids are suggested to </w:t>
      </w:r>
      <w:r w:rsidR="00142C42">
        <w:rPr>
          <w:lang w:eastAsia="zh-CN"/>
        </w:rPr>
        <w:t>be</w:t>
      </w:r>
      <w:r>
        <w:rPr>
          <w:lang w:eastAsia="zh-CN"/>
        </w:rPr>
        <w:t xml:space="preserve"> 15deg step size.</w:t>
      </w:r>
      <w:r w:rsidR="007D1A86">
        <w:rPr>
          <w:lang w:eastAsia="zh-CN"/>
        </w:rPr>
        <w:t xml:space="preserve"> Both </w:t>
      </w:r>
      <w:r w:rsidR="007D1A86" w:rsidRPr="007D1A86">
        <w:rPr>
          <w:lang w:eastAsia="zh-CN"/>
        </w:rPr>
        <w:t xml:space="preserve">sin θ </w:t>
      </w:r>
      <w:r w:rsidR="007D1A86">
        <w:rPr>
          <w:lang w:eastAsia="zh-CN"/>
        </w:rPr>
        <w:t>weighting and</w:t>
      </w:r>
      <w:r w:rsidR="007D1A86" w:rsidRPr="007D1A86">
        <w:rPr>
          <w:lang w:eastAsia="zh-CN"/>
        </w:rPr>
        <w:t xml:space="preserve"> Clenshaw-Curtis</w:t>
      </w:r>
      <w:r w:rsidR="007D1A86">
        <w:rPr>
          <w:lang w:eastAsia="zh-CN"/>
        </w:rPr>
        <w:t xml:space="preserve"> weighting should be included in the analysis.</w:t>
      </w:r>
    </w:p>
    <w:p w14:paraId="3E10339E" w14:textId="524DF5D9" w:rsidR="007D1A86" w:rsidRPr="00C04E77" w:rsidRDefault="00142C42" w:rsidP="00E16A3E">
      <w:pPr>
        <w:rPr>
          <w:lang w:eastAsia="zh-CN"/>
        </w:rPr>
      </w:pPr>
      <w:r>
        <w:rPr>
          <w:lang w:eastAsia="zh-CN"/>
        </w:rPr>
        <w:t>In summary, we have following proposals:</w:t>
      </w:r>
    </w:p>
    <w:p w14:paraId="4D5CB8AD" w14:textId="4566C647" w:rsidR="000E20AD" w:rsidRDefault="000E20AD" w:rsidP="000E20AD">
      <w:pPr>
        <w:spacing w:after="120"/>
        <w:ind w:left="1418" w:hanging="1418"/>
        <w:rPr>
          <w:lang w:eastAsia="zh-CN"/>
        </w:rPr>
      </w:pPr>
      <w:r>
        <w:rPr>
          <w:b/>
          <w:bCs/>
        </w:rPr>
        <w:lastRenderedPageBreak/>
        <w:t>Proposal 1</w:t>
      </w:r>
      <w:r w:rsidRPr="00DF1B01">
        <w:rPr>
          <w:b/>
          <w:bCs/>
        </w:rPr>
        <w:t>:</w:t>
      </w:r>
      <w:r w:rsidRPr="00DF1B01">
        <w:rPr>
          <w:b/>
          <w:bCs/>
        </w:rPr>
        <w:tab/>
      </w:r>
      <w:r>
        <w:rPr>
          <w:b/>
          <w:bCs/>
        </w:rPr>
        <w:t xml:space="preserve">RAN4 </w:t>
      </w:r>
      <w:r w:rsidRPr="000E20AD">
        <w:rPr>
          <w:b/>
          <w:lang w:eastAsia="zh-CN"/>
        </w:rPr>
        <w:t>further discuss how the measurement grid analysis could be done for multi-RX DL 2AoA spherical coverage</w:t>
      </w:r>
      <w:r w:rsidRPr="006933DF">
        <w:rPr>
          <w:b/>
          <w:lang w:eastAsia="zh-CN"/>
        </w:rPr>
        <w:t>.</w:t>
      </w:r>
    </w:p>
    <w:p w14:paraId="4DAF7480" w14:textId="1938DCB3" w:rsidR="000E20AD" w:rsidRPr="007D1A86" w:rsidRDefault="000E20AD" w:rsidP="000E20AD">
      <w:pPr>
        <w:spacing w:after="120"/>
        <w:ind w:left="1418" w:hanging="1418"/>
        <w:rPr>
          <w:b/>
          <w:lang w:eastAsia="zh-CN"/>
        </w:rPr>
      </w:pPr>
      <w:r>
        <w:rPr>
          <w:b/>
          <w:bCs/>
        </w:rPr>
        <w:t>Proposal 2</w:t>
      </w:r>
      <w:r w:rsidRPr="00DF1B01">
        <w:rPr>
          <w:b/>
          <w:bCs/>
        </w:rPr>
        <w:t>:</w:t>
      </w:r>
      <w:r w:rsidRPr="00DF1B01">
        <w:rPr>
          <w:b/>
          <w:bCs/>
        </w:rPr>
        <w:tab/>
      </w:r>
      <w:r w:rsidRPr="007D1A86">
        <w:rPr>
          <w:b/>
          <w:bCs/>
        </w:rPr>
        <w:t xml:space="preserve">companies are encouraged </w:t>
      </w:r>
      <w:r w:rsidR="007D1A86">
        <w:rPr>
          <w:b/>
          <w:bCs/>
        </w:rPr>
        <w:t xml:space="preserve">to </w:t>
      </w:r>
      <w:r w:rsidRPr="007D1A86">
        <w:rPr>
          <w:b/>
          <w:lang w:eastAsia="zh-CN"/>
        </w:rPr>
        <w:t xml:space="preserve">compare the simulation results difference between fine grids and coarse grids. Fine grids are suggested with &lt;=2deg step size, and course grids are suggested to </w:t>
      </w:r>
      <w:r w:rsidR="00142C42">
        <w:rPr>
          <w:b/>
          <w:lang w:eastAsia="zh-CN"/>
        </w:rPr>
        <w:t>be</w:t>
      </w:r>
      <w:r w:rsidRPr="007D1A86">
        <w:rPr>
          <w:b/>
          <w:lang w:eastAsia="zh-CN"/>
        </w:rPr>
        <w:t xml:space="preserve"> 15deg step size.</w:t>
      </w:r>
    </w:p>
    <w:p w14:paraId="73FD6049" w14:textId="26B18438" w:rsidR="007D1A86" w:rsidRPr="007D1A86" w:rsidRDefault="007D1A86" w:rsidP="007D1A86">
      <w:pPr>
        <w:spacing w:after="120"/>
        <w:ind w:left="1418" w:hanging="1418"/>
        <w:rPr>
          <w:b/>
          <w:lang w:eastAsia="zh-CN"/>
        </w:rPr>
      </w:pPr>
      <w:r w:rsidRPr="007D1A86">
        <w:rPr>
          <w:b/>
          <w:bCs/>
        </w:rPr>
        <w:t>Proposal 3:</w:t>
      </w:r>
      <w:r w:rsidRPr="007D1A86">
        <w:rPr>
          <w:b/>
          <w:bCs/>
        </w:rPr>
        <w:tab/>
      </w:r>
      <w:r w:rsidRPr="007D1A86">
        <w:rPr>
          <w:b/>
          <w:lang w:eastAsia="zh-CN"/>
        </w:rPr>
        <w:t>Both sin θ weighting and Clenshaw-Curtis weighting should be included in the measurement grid analysis.</w:t>
      </w:r>
    </w:p>
    <w:p w14:paraId="3764CAFA" w14:textId="761D5D35" w:rsidR="00235EE7" w:rsidRDefault="00235EE7" w:rsidP="00235EE7">
      <w:pPr>
        <w:pStyle w:val="1"/>
      </w:pPr>
      <w:r>
        <w:t xml:space="preserve">3. </w:t>
      </w:r>
      <w:r>
        <w:tab/>
        <w:t>Conclusion</w:t>
      </w:r>
    </w:p>
    <w:p w14:paraId="6223BBBC" w14:textId="77777777" w:rsidR="007D1A86" w:rsidRDefault="007D1A86" w:rsidP="007D1A86">
      <w:pPr>
        <w:spacing w:after="120"/>
        <w:ind w:left="1418" w:hanging="1418"/>
        <w:rPr>
          <w:lang w:eastAsia="zh-CN"/>
        </w:rPr>
      </w:pPr>
      <w:r>
        <w:rPr>
          <w:b/>
          <w:bCs/>
        </w:rPr>
        <w:t>Observation 1</w:t>
      </w:r>
      <w:r w:rsidRPr="00DF1B01">
        <w:rPr>
          <w:b/>
          <w:bCs/>
        </w:rPr>
        <w:t>:</w:t>
      </w:r>
      <w:r w:rsidRPr="00DF1B01">
        <w:rPr>
          <w:b/>
          <w:bCs/>
        </w:rPr>
        <w:tab/>
      </w:r>
      <w:r w:rsidRPr="00C04E77">
        <w:rPr>
          <w:b/>
          <w:lang w:eastAsia="zh-CN"/>
        </w:rPr>
        <w:t>multi-RX DL 2AoA</w:t>
      </w:r>
      <w:r w:rsidRPr="00C04E77">
        <w:rPr>
          <w:b/>
          <w:bCs/>
        </w:rPr>
        <w:t xml:space="preserve"> spherical coverage test result in not in dBm unit but in percentage</w:t>
      </w:r>
      <w:r w:rsidRPr="006933DF">
        <w:rPr>
          <w:b/>
          <w:lang w:eastAsia="zh-CN"/>
        </w:rPr>
        <w:t>.</w:t>
      </w:r>
    </w:p>
    <w:p w14:paraId="06BD3194" w14:textId="77777777" w:rsidR="007D1A86" w:rsidRDefault="007D1A86" w:rsidP="007D1A86">
      <w:pPr>
        <w:spacing w:after="120"/>
        <w:ind w:left="1418" w:hanging="1418"/>
        <w:rPr>
          <w:lang w:eastAsia="zh-CN"/>
        </w:rPr>
      </w:pPr>
      <w:r>
        <w:rPr>
          <w:b/>
          <w:bCs/>
        </w:rPr>
        <w:t>Observation 2</w:t>
      </w:r>
      <w:r w:rsidRPr="00DF1B01">
        <w:rPr>
          <w:b/>
          <w:bCs/>
        </w:rPr>
        <w:t>:</w:t>
      </w:r>
      <w:r w:rsidRPr="00DF1B01">
        <w:rPr>
          <w:b/>
          <w:bCs/>
        </w:rPr>
        <w:tab/>
      </w:r>
      <w:r w:rsidRPr="00C04E77">
        <w:rPr>
          <w:b/>
          <w:lang w:eastAsia="zh-CN"/>
        </w:rPr>
        <w:t xml:space="preserve">UE orientation itself is part of </w:t>
      </w:r>
      <w:r>
        <w:rPr>
          <w:b/>
          <w:lang w:eastAsia="zh-CN"/>
        </w:rPr>
        <w:t xml:space="preserve">Multi-RX </w:t>
      </w:r>
      <w:r w:rsidRPr="00C04E77">
        <w:rPr>
          <w:b/>
          <w:lang w:eastAsia="zh-CN"/>
        </w:rPr>
        <w:t>core-requirement</w:t>
      </w:r>
      <w:r>
        <w:rPr>
          <w:b/>
          <w:lang w:eastAsia="zh-CN"/>
        </w:rPr>
        <w:t xml:space="preserve"> and hence deviation analysis based on numerous random orientation may be not doable</w:t>
      </w:r>
      <w:r w:rsidRPr="006933DF">
        <w:rPr>
          <w:b/>
          <w:lang w:eastAsia="zh-CN"/>
        </w:rPr>
        <w:t>.</w:t>
      </w:r>
    </w:p>
    <w:p w14:paraId="0116A769" w14:textId="77777777" w:rsidR="00142C42" w:rsidRDefault="00142C42" w:rsidP="00142C42">
      <w:pPr>
        <w:spacing w:after="120"/>
        <w:ind w:left="1418" w:hanging="1418"/>
        <w:rPr>
          <w:lang w:eastAsia="zh-CN"/>
        </w:rPr>
      </w:pPr>
      <w:r>
        <w:rPr>
          <w:b/>
          <w:bCs/>
        </w:rPr>
        <w:t>Proposal 1</w:t>
      </w:r>
      <w:r w:rsidRPr="00DF1B01">
        <w:rPr>
          <w:b/>
          <w:bCs/>
        </w:rPr>
        <w:t>:</w:t>
      </w:r>
      <w:r w:rsidRPr="00DF1B01">
        <w:rPr>
          <w:b/>
          <w:bCs/>
        </w:rPr>
        <w:tab/>
      </w:r>
      <w:r>
        <w:rPr>
          <w:b/>
          <w:bCs/>
        </w:rPr>
        <w:t xml:space="preserve">RAN4 </w:t>
      </w:r>
      <w:r w:rsidRPr="000E20AD">
        <w:rPr>
          <w:b/>
          <w:lang w:eastAsia="zh-CN"/>
        </w:rPr>
        <w:t>further discuss how the measurement grid analysis could be done for multi-RX DL 2AoA spherical coverage</w:t>
      </w:r>
      <w:r w:rsidRPr="006933DF">
        <w:rPr>
          <w:b/>
          <w:lang w:eastAsia="zh-CN"/>
        </w:rPr>
        <w:t>.</w:t>
      </w:r>
    </w:p>
    <w:p w14:paraId="5D211C31" w14:textId="41C6F82A" w:rsidR="00142C42" w:rsidRPr="007D1A86" w:rsidRDefault="00142C42" w:rsidP="00142C42">
      <w:pPr>
        <w:spacing w:after="120"/>
        <w:ind w:left="1418" w:hanging="1418"/>
        <w:rPr>
          <w:b/>
          <w:lang w:eastAsia="zh-CN"/>
        </w:rPr>
      </w:pPr>
      <w:r>
        <w:rPr>
          <w:b/>
          <w:bCs/>
        </w:rPr>
        <w:t>Proposal 2</w:t>
      </w:r>
      <w:r w:rsidRPr="00DF1B01">
        <w:rPr>
          <w:b/>
          <w:bCs/>
        </w:rPr>
        <w:t>:</w:t>
      </w:r>
      <w:r w:rsidRPr="00DF1B01">
        <w:rPr>
          <w:b/>
          <w:bCs/>
        </w:rPr>
        <w:tab/>
      </w:r>
      <w:r w:rsidRPr="007D1A86">
        <w:rPr>
          <w:b/>
          <w:bCs/>
        </w:rPr>
        <w:t xml:space="preserve">companies are encouraged </w:t>
      </w:r>
      <w:r>
        <w:rPr>
          <w:b/>
          <w:bCs/>
        </w:rPr>
        <w:t xml:space="preserve">to </w:t>
      </w:r>
      <w:r w:rsidRPr="007D1A86">
        <w:rPr>
          <w:b/>
          <w:lang w:eastAsia="zh-CN"/>
        </w:rPr>
        <w:t xml:space="preserve">compare the simulation results difference between fine grids and coarse grids. Fine grids are suggested with &lt;=2deg step size, and course grids are suggested to </w:t>
      </w:r>
      <w:r>
        <w:rPr>
          <w:b/>
          <w:lang w:eastAsia="zh-CN"/>
        </w:rPr>
        <w:t>be</w:t>
      </w:r>
      <w:r w:rsidRPr="007D1A86">
        <w:rPr>
          <w:b/>
          <w:lang w:eastAsia="zh-CN"/>
        </w:rPr>
        <w:t xml:space="preserve"> 15deg step size</w:t>
      </w:r>
      <w:bookmarkStart w:id="5" w:name="_GoBack"/>
      <w:bookmarkEnd w:id="5"/>
      <w:r w:rsidRPr="007D1A86">
        <w:rPr>
          <w:b/>
          <w:lang w:eastAsia="zh-CN"/>
        </w:rPr>
        <w:t>.</w:t>
      </w:r>
    </w:p>
    <w:p w14:paraId="5A4374B8" w14:textId="77777777" w:rsidR="00142C42" w:rsidRPr="007D1A86" w:rsidRDefault="00142C42" w:rsidP="00142C42">
      <w:pPr>
        <w:spacing w:after="120"/>
        <w:ind w:left="1418" w:hanging="1418"/>
        <w:rPr>
          <w:b/>
          <w:lang w:eastAsia="zh-CN"/>
        </w:rPr>
      </w:pPr>
      <w:r w:rsidRPr="007D1A86">
        <w:rPr>
          <w:b/>
          <w:bCs/>
        </w:rPr>
        <w:t>Proposal 3:</w:t>
      </w:r>
      <w:r w:rsidRPr="007D1A86">
        <w:rPr>
          <w:b/>
          <w:bCs/>
        </w:rPr>
        <w:tab/>
      </w:r>
      <w:r w:rsidRPr="007D1A86">
        <w:rPr>
          <w:b/>
          <w:lang w:eastAsia="zh-CN"/>
        </w:rPr>
        <w:t>Both sin θ weighting and Clenshaw-Curtis weighting should be included in the measurement grid analysis.</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18E47A4" w14:textId="36CD981A" w:rsidR="007B2BEF" w:rsidRPr="007B2BEF" w:rsidRDefault="007B2BEF" w:rsidP="007B2BEF">
      <w:pPr>
        <w:pStyle w:val="af3"/>
        <w:numPr>
          <w:ilvl w:val="0"/>
          <w:numId w:val="1"/>
        </w:numPr>
        <w:ind w:firstLineChars="0"/>
        <w:rPr>
          <w:lang w:val="en-US"/>
        </w:rPr>
      </w:pPr>
      <w:r>
        <w:rPr>
          <w:rFonts w:hint="eastAsia"/>
          <w:lang w:val="en-US" w:eastAsia="zh-CN"/>
        </w:rPr>
        <w:t>R</w:t>
      </w:r>
      <w:r>
        <w:rPr>
          <w:lang w:val="en-US" w:eastAsia="zh-CN"/>
        </w:rPr>
        <w:t>P-230814    “</w:t>
      </w:r>
      <w:r w:rsidRPr="007B2BEF">
        <w:rPr>
          <w:lang w:val="en-US" w:eastAsia="zh-CN"/>
        </w:rPr>
        <w:t>Revised SID: Study on NR frequency range 2 (FR2) Over-the-Air (OTA) testing enhancements</w:t>
      </w:r>
      <w:r>
        <w:rPr>
          <w:lang w:val="en-US" w:eastAsia="zh-CN"/>
        </w:rPr>
        <w:t>”, Qualcomm</w:t>
      </w:r>
    </w:p>
    <w:p w14:paraId="7004033F" w14:textId="3CD9EEBA" w:rsidR="007422C9" w:rsidRPr="005B57BA" w:rsidRDefault="005259C8" w:rsidP="007D1A86">
      <w:pPr>
        <w:pStyle w:val="af3"/>
        <w:numPr>
          <w:ilvl w:val="0"/>
          <w:numId w:val="1"/>
        </w:numPr>
        <w:ind w:firstLineChars="0"/>
        <w:rPr>
          <w:lang w:val="en-US"/>
        </w:rPr>
      </w:pPr>
      <w:r>
        <w:rPr>
          <w:lang w:eastAsia="zh-CN"/>
        </w:rPr>
        <w:t>R4-2</w:t>
      </w:r>
      <w:r w:rsidR="004B56AD">
        <w:rPr>
          <w:lang w:eastAsia="zh-CN"/>
        </w:rPr>
        <w:t>30</w:t>
      </w:r>
      <w:r w:rsidR="007D1A86">
        <w:rPr>
          <w:lang w:eastAsia="zh-CN"/>
        </w:rPr>
        <w:t>6604</w:t>
      </w:r>
      <w:r>
        <w:rPr>
          <w:lang w:eastAsia="zh-CN"/>
        </w:rPr>
        <w:t xml:space="preserve">    “</w:t>
      </w:r>
      <w:r w:rsidR="007D1A86" w:rsidRPr="007D1A86">
        <w:rPr>
          <w:lang w:eastAsia="zh-CN"/>
        </w:rPr>
        <w:t>WF on FR2-1 UERF requirements for FR2 multi-Rx</w:t>
      </w:r>
      <w:r>
        <w:rPr>
          <w:lang w:eastAsia="zh-CN"/>
        </w:rPr>
        <w:t xml:space="preserve">”, </w:t>
      </w:r>
      <w:r w:rsidR="007D1A86">
        <w:rPr>
          <w:lang w:eastAsia="zh-CN"/>
        </w:rPr>
        <w:t>vivo</w:t>
      </w:r>
      <w:r w:rsidR="004B56AD">
        <w:rPr>
          <w:lang w:eastAsia="zh-CN"/>
        </w:rPr>
        <w:t>, Apple</w:t>
      </w:r>
    </w:p>
    <w:p w14:paraId="57B30CEC" w14:textId="6E1B7A96" w:rsidR="00AA2133" w:rsidRDefault="007D1A86" w:rsidP="00601243">
      <w:pPr>
        <w:pStyle w:val="af3"/>
        <w:numPr>
          <w:ilvl w:val="0"/>
          <w:numId w:val="1"/>
        </w:numPr>
        <w:ind w:firstLineChars="0"/>
        <w:rPr>
          <w:lang w:val="en-US"/>
        </w:rPr>
      </w:pPr>
      <w:r>
        <w:rPr>
          <w:lang w:val="en-US"/>
        </w:rPr>
        <w:t>TR38.810</w:t>
      </w:r>
    </w:p>
    <w:sectPr w:rsidR="00AA213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0282E" w14:textId="77777777" w:rsidR="00C235F7" w:rsidRDefault="00C235F7" w:rsidP="00707BAC">
      <w:pPr>
        <w:spacing w:after="0"/>
      </w:pPr>
      <w:r>
        <w:separator/>
      </w:r>
    </w:p>
  </w:endnote>
  <w:endnote w:type="continuationSeparator" w:id="0">
    <w:p w14:paraId="3CDFCEAD" w14:textId="77777777" w:rsidR="00C235F7" w:rsidRDefault="00C235F7"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FF33F" w14:textId="77777777" w:rsidR="00C235F7" w:rsidRDefault="00C235F7" w:rsidP="00707BAC">
      <w:pPr>
        <w:spacing w:after="0"/>
      </w:pPr>
      <w:r>
        <w:separator/>
      </w:r>
    </w:p>
  </w:footnote>
  <w:footnote w:type="continuationSeparator" w:id="0">
    <w:p w14:paraId="610158F4" w14:textId="77777777" w:rsidR="00C235F7" w:rsidRDefault="00C235F7"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4"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5"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6"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CB7E3E"/>
    <w:multiLevelType w:val="hybridMultilevel"/>
    <w:tmpl w:val="0180DD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C4A5326"/>
    <w:multiLevelType w:val="hybridMultilevel"/>
    <w:tmpl w:val="600E7042"/>
    <w:lvl w:ilvl="0" w:tplc="1A08EE20">
      <w:start w:val="1"/>
      <w:numFmt w:val="bullet"/>
      <w:lvlText w:val=""/>
      <w:lvlJc w:val="left"/>
      <w:pPr>
        <w:tabs>
          <w:tab w:val="num" w:pos="720"/>
        </w:tabs>
        <w:ind w:left="720" w:hanging="360"/>
      </w:pPr>
      <w:rPr>
        <w:rFonts w:ascii="Wingdings" w:hAnsi="Wingdings" w:hint="default"/>
      </w:rPr>
    </w:lvl>
    <w:lvl w:ilvl="1" w:tplc="D572F8C4" w:tentative="1">
      <w:start w:val="1"/>
      <w:numFmt w:val="bullet"/>
      <w:lvlText w:val=""/>
      <w:lvlJc w:val="left"/>
      <w:pPr>
        <w:tabs>
          <w:tab w:val="num" w:pos="1440"/>
        </w:tabs>
        <w:ind w:left="1440" w:hanging="360"/>
      </w:pPr>
      <w:rPr>
        <w:rFonts w:ascii="Wingdings" w:hAnsi="Wingdings" w:hint="default"/>
      </w:rPr>
    </w:lvl>
    <w:lvl w:ilvl="2" w:tplc="1F18522A">
      <w:start w:val="1"/>
      <w:numFmt w:val="bullet"/>
      <w:lvlText w:val=""/>
      <w:lvlJc w:val="left"/>
      <w:pPr>
        <w:tabs>
          <w:tab w:val="num" w:pos="2160"/>
        </w:tabs>
        <w:ind w:left="2160" w:hanging="360"/>
      </w:pPr>
      <w:rPr>
        <w:rFonts w:ascii="Wingdings" w:hAnsi="Wingdings" w:hint="default"/>
      </w:rPr>
    </w:lvl>
    <w:lvl w:ilvl="3" w:tplc="A50C5706" w:tentative="1">
      <w:start w:val="1"/>
      <w:numFmt w:val="bullet"/>
      <w:lvlText w:val=""/>
      <w:lvlJc w:val="left"/>
      <w:pPr>
        <w:tabs>
          <w:tab w:val="num" w:pos="2880"/>
        </w:tabs>
        <w:ind w:left="2880" w:hanging="360"/>
      </w:pPr>
      <w:rPr>
        <w:rFonts w:ascii="Wingdings" w:hAnsi="Wingdings" w:hint="default"/>
      </w:rPr>
    </w:lvl>
    <w:lvl w:ilvl="4" w:tplc="E326C1FE" w:tentative="1">
      <w:start w:val="1"/>
      <w:numFmt w:val="bullet"/>
      <w:lvlText w:val=""/>
      <w:lvlJc w:val="left"/>
      <w:pPr>
        <w:tabs>
          <w:tab w:val="num" w:pos="3600"/>
        </w:tabs>
        <w:ind w:left="3600" w:hanging="360"/>
      </w:pPr>
      <w:rPr>
        <w:rFonts w:ascii="Wingdings" w:hAnsi="Wingdings" w:hint="default"/>
      </w:rPr>
    </w:lvl>
    <w:lvl w:ilvl="5" w:tplc="C6BA567C" w:tentative="1">
      <w:start w:val="1"/>
      <w:numFmt w:val="bullet"/>
      <w:lvlText w:val=""/>
      <w:lvlJc w:val="left"/>
      <w:pPr>
        <w:tabs>
          <w:tab w:val="num" w:pos="4320"/>
        </w:tabs>
        <w:ind w:left="4320" w:hanging="360"/>
      </w:pPr>
      <w:rPr>
        <w:rFonts w:ascii="Wingdings" w:hAnsi="Wingdings" w:hint="default"/>
      </w:rPr>
    </w:lvl>
    <w:lvl w:ilvl="6" w:tplc="6A628E12" w:tentative="1">
      <w:start w:val="1"/>
      <w:numFmt w:val="bullet"/>
      <w:lvlText w:val=""/>
      <w:lvlJc w:val="left"/>
      <w:pPr>
        <w:tabs>
          <w:tab w:val="num" w:pos="5040"/>
        </w:tabs>
        <w:ind w:left="5040" w:hanging="360"/>
      </w:pPr>
      <w:rPr>
        <w:rFonts w:ascii="Wingdings" w:hAnsi="Wingdings" w:hint="default"/>
      </w:rPr>
    </w:lvl>
    <w:lvl w:ilvl="7" w:tplc="B918684E" w:tentative="1">
      <w:start w:val="1"/>
      <w:numFmt w:val="bullet"/>
      <w:lvlText w:val=""/>
      <w:lvlJc w:val="left"/>
      <w:pPr>
        <w:tabs>
          <w:tab w:val="num" w:pos="5760"/>
        </w:tabs>
        <w:ind w:left="5760" w:hanging="360"/>
      </w:pPr>
      <w:rPr>
        <w:rFonts w:ascii="Wingdings" w:hAnsi="Wingdings" w:hint="default"/>
      </w:rPr>
    </w:lvl>
    <w:lvl w:ilvl="8" w:tplc="F7BA374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32"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37"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AA46D6"/>
    <w:multiLevelType w:val="hybridMultilevel"/>
    <w:tmpl w:val="56CC58BE"/>
    <w:lvl w:ilvl="0" w:tplc="65889F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33"/>
  </w:num>
  <w:num w:numId="6">
    <w:abstractNumId w:val="14"/>
  </w:num>
  <w:num w:numId="7">
    <w:abstractNumId w:val="27"/>
  </w:num>
  <w:num w:numId="8">
    <w:abstractNumId w:val="1"/>
  </w:num>
  <w:num w:numId="9">
    <w:abstractNumId w:val="10"/>
  </w:num>
  <w:num w:numId="10">
    <w:abstractNumId w:val="25"/>
  </w:num>
  <w:num w:numId="11">
    <w:abstractNumId w:val="31"/>
  </w:num>
  <w:num w:numId="12">
    <w:abstractNumId w:val="17"/>
  </w:num>
  <w:num w:numId="13">
    <w:abstractNumId w:val="7"/>
  </w:num>
  <w:num w:numId="14">
    <w:abstractNumId w:val="11"/>
  </w:num>
  <w:num w:numId="15">
    <w:abstractNumId w:val="19"/>
  </w:num>
  <w:num w:numId="16">
    <w:abstractNumId w:val="16"/>
  </w:num>
  <w:num w:numId="17">
    <w:abstractNumId w:val="24"/>
  </w:num>
  <w:num w:numId="18">
    <w:abstractNumId w:val="18"/>
  </w:num>
  <w:num w:numId="19">
    <w:abstractNumId w:val="37"/>
  </w:num>
  <w:num w:numId="20">
    <w:abstractNumId w:val="0"/>
  </w:num>
  <w:num w:numId="21">
    <w:abstractNumId w:val="32"/>
  </w:num>
  <w:num w:numId="22">
    <w:abstractNumId w:val="28"/>
  </w:num>
  <w:num w:numId="23">
    <w:abstractNumId w:val="20"/>
  </w:num>
  <w:num w:numId="24">
    <w:abstractNumId w:val="13"/>
  </w:num>
  <w:num w:numId="25">
    <w:abstractNumId w:val="9"/>
  </w:num>
  <w:num w:numId="26">
    <w:abstractNumId w:val="23"/>
  </w:num>
  <w:num w:numId="27">
    <w:abstractNumId w:val="29"/>
  </w:num>
  <w:num w:numId="28">
    <w:abstractNumId w:val="2"/>
  </w:num>
  <w:num w:numId="29">
    <w:abstractNumId w:val="34"/>
  </w:num>
  <w:num w:numId="30">
    <w:abstractNumId w:val="38"/>
  </w:num>
  <w:num w:numId="31">
    <w:abstractNumId w:val="15"/>
  </w:num>
  <w:num w:numId="32">
    <w:abstractNumId w:val="22"/>
  </w:num>
  <w:num w:numId="33">
    <w:abstractNumId w:val="8"/>
  </w:num>
  <w:num w:numId="34">
    <w:abstractNumId w:val="30"/>
  </w:num>
  <w:num w:numId="35">
    <w:abstractNumId w:val="6"/>
  </w:num>
  <w:num w:numId="36">
    <w:abstractNumId w:val="21"/>
  </w:num>
  <w:num w:numId="37">
    <w:abstractNumId w:val="36"/>
  </w:num>
  <w:num w:numId="38">
    <w:abstractNumId w:val="4"/>
  </w:num>
  <w:num w:numId="3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FBC"/>
    <w:rsid w:val="00066825"/>
    <w:rsid w:val="00067601"/>
    <w:rsid w:val="000679A1"/>
    <w:rsid w:val="000735D4"/>
    <w:rsid w:val="0007433E"/>
    <w:rsid w:val="000760E6"/>
    <w:rsid w:val="00076E23"/>
    <w:rsid w:val="0007720C"/>
    <w:rsid w:val="00077EB3"/>
    <w:rsid w:val="00081C9E"/>
    <w:rsid w:val="00084FB9"/>
    <w:rsid w:val="0008572D"/>
    <w:rsid w:val="00085E46"/>
    <w:rsid w:val="000908D9"/>
    <w:rsid w:val="00090E80"/>
    <w:rsid w:val="0009258B"/>
    <w:rsid w:val="00092B0C"/>
    <w:rsid w:val="00097642"/>
    <w:rsid w:val="00097F22"/>
    <w:rsid w:val="000A012E"/>
    <w:rsid w:val="000A0913"/>
    <w:rsid w:val="000A0D13"/>
    <w:rsid w:val="000A355F"/>
    <w:rsid w:val="000A567D"/>
    <w:rsid w:val="000A643B"/>
    <w:rsid w:val="000A6859"/>
    <w:rsid w:val="000A6C41"/>
    <w:rsid w:val="000B0067"/>
    <w:rsid w:val="000B04B1"/>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20AD"/>
    <w:rsid w:val="000E26BD"/>
    <w:rsid w:val="000E3E8B"/>
    <w:rsid w:val="000E4512"/>
    <w:rsid w:val="000E596C"/>
    <w:rsid w:val="000E6F30"/>
    <w:rsid w:val="000E7126"/>
    <w:rsid w:val="000E7763"/>
    <w:rsid w:val="000F2AFB"/>
    <w:rsid w:val="000F44EF"/>
    <w:rsid w:val="000F4FB3"/>
    <w:rsid w:val="000F502F"/>
    <w:rsid w:val="000F519D"/>
    <w:rsid w:val="000F5D38"/>
    <w:rsid w:val="000F65D1"/>
    <w:rsid w:val="000F7A0B"/>
    <w:rsid w:val="000F7B37"/>
    <w:rsid w:val="000F7ECB"/>
    <w:rsid w:val="00100B99"/>
    <w:rsid w:val="001015AF"/>
    <w:rsid w:val="00102B34"/>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EEF"/>
    <w:rsid w:val="00133395"/>
    <w:rsid w:val="00133690"/>
    <w:rsid w:val="001351EB"/>
    <w:rsid w:val="00135A74"/>
    <w:rsid w:val="00135AD2"/>
    <w:rsid w:val="00135CFF"/>
    <w:rsid w:val="00136F8E"/>
    <w:rsid w:val="00137685"/>
    <w:rsid w:val="0014069D"/>
    <w:rsid w:val="0014142E"/>
    <w:rsid w:val="0014180B"/>
    <w:rsid w:val="00142C42"/>
    <w:rsid w:val="00143551"/>
    <w:rsid w:val="00144917"/>
    <w:rsid w:val="00144F7C"/>
    <w:rsid w:val="00144FDD"/>
    <w:rsid w:val="00144FEC"/>
    <w:rsid w:val="001512D7"/>
    <w:rsid w:val="0015384B"/>
    <w:rsid w:val="00155CB9"/>
    <w:rsid w:val="00156359"/>
    <w:rsid w:val="001573DA"/>
    <w:rsid w:val="0016151C"/>
    <w:rsid w:val="001617FA"/>
    <w:rsid w:val="00161C73"/>
    <w:rsid w:val="0016252B"/>
    <w:rsid w:val="00164965"/>
    <w:rsid w:val="00164F8D"/>
    <w:rsid w:val="00165C4F"/>
    <w:rsid w:val="00166E70"/>
    <w:rsid w:val="00171914"/>
    <w:rsid w:val="001735AE"/>
    <w:rsid w:val="001744FE"/>
    <w:rsid w:val="00176AE3"/>
    <w:rsid w:val="00176BE7"/>
    <w:rsid w:val="00180BAA"/>
    <w:rsid w:val="0018184B"/>
    <w:rsid w:val="00190E68"/>
    <w:rsid w:val="001927C1"/>
    <w:rsid w:val="001940AA"/>
    <w:rsid w:val="00194778"/>
    <w:rsid w:val="00195EDC"/>
    <w:rsid w:val="001965EF"/>
    <w:rsid w:val="00196AD3"/>
    <w:rsid w:val="001A09A7"/>
    <w:rsid w:val="001A3577"/>
    <w:rsid w:val="001A5350"/>
    <w:rsid w:val="001A5E68"/>
    <w:rsid w:val="001A65EF"/>
    <w:rsid w:val="001A6E64"/>
    <w:rsid w:val="001A6EAA"/>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0EF"/>
    <w:rsid w:val="001D747B"/>
    <w:rsid w:val="001E21C9"/>
    <w:rsid w:val="001E244E"/>
    <w:rsid w:val="001E3B48"/>
    <w:rsid w:val="001E3C64"/>
    <w:rsid w:val="001E4305"/>
    <w:rsid w:val="001E4B08"/>
    <w:rsid w:val="001E68C4"/>
    <w:rsid w:val="001E6D5E"/>
    <w:rsid w:val="001E76A6"/>
    <w:rsid w:val="001E7DE9"/>
    <w:rsid w:val="001F62BD"/>
    <w:rsid w:val="001F7D2F"/>
    <w:rsid w:val="0020018D"/>
    <w:rsid w:val="00200596"/>
    <w:rsid w:val="00200B88"/>
    <w:rsid w:val="00201520"/>
    <w:rsid w:val="00201FB4"/>
    <w:rsid w:val="00202E77"/>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A13"/>
    <w:rsid w:val="00271A4B"/>
    <w:rsid w:val="00271E8B"/>
    <w:rsid w:val="00272536"/>
    <w:rsid w:val="00272E37"/>
    <w:rsid w:val="00275B7C"/>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3B6"/>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5D23"/>
    <w:rsid w:val="00306C18"/>
    <w:rsid w:val="0030770F"/>
    <w:rsid w:val="00307D99"/>
    <w:rsid w:val="00314F38"/>
    <w:rsid w:val="003174D1"/>
    <w:rsid w:val="00317D5B"/>
    <w:rsid w:val="003213CD"/>
    <w:rsid w:val="00322F45"/>
    <w:rsid w:val="00323A7E"/>
    <w:rsid w:val="00324D06"/>
    <w:rsid w:val="003256DE"/>
    <w:rsid w:val="0032637E"/>
    <w:rsid w:val="00331FD7"/>
    <w:rsid w:val="00332432"/>
    <w:rsid w:val="00333C34"/>
    <w:rsid w:val="00334D21"/>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ED6"/>
    <w:rsid w:val="00376FE4"/>
    <w:rsid w:val="00377D8A"/>
    <w:rsid w:val="00381C4E"/>
    <w:rsid w:val="00382F1C"/>
    <w:rsid w:val="0038340D"/>
    <w:rsid w:val="003859BB"/>
    <w:rsid w:val="00387300"/>
    <w:rsid w:val="0038770D"/>
    <w:rsid w:val="00387967"/>
    <w:rsid w:val="00392B77"/>
    <w:rsid w:val="00393D5B"/>
    <w:rsid w:val="00396CB4"/>
    <w:rsid w:val="0039732A"/>
    <w:rsid w:val="003A0EDC"/>
    <w:rsid w:val="003A0EFF"/>
    <w:rsid w:val="003A1D5C"/>
    <w:rsid w:val="003A281C"/>
    <w:rsid w:val="003A43B2"/>
    <w:rsid w:val="003A4CD3"/>
    <w:rsid w:val="003A592C"/>
    <w:rsid w:val="003A662E"/>
    <w:rsid w:val="003A6693"/>
    <w:rsid w:val="003A66CD"/>
    <w:rsid w:val="003A6D3B"/>
    <w:rsid w:val="003A6F25"/>
    <w:rsid w:val="003B2A7B"/>
    <w:rsid w:val="003B2D77"/>
    <w:rsid w:val="003B3C8C"/>
    <w:rsid w:val="003B3F6F"/>
    <w:rsid w:val="003B4099"/>
    <w:rsid w:val="003B4BF2"/>
    <w:rsid w:val="003B5696"/>
    <w:rsid w:val="003B648C"/>
    <w:rsid w:val="003B6ABE"/>
    <w:rsid w:val="003B6F17"/>
    <w:rsid w:val="003C068E"/>
    <w:rsid w:val="003C3383"/>
    <w:rsid w:val="003C3B47"/>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8F"/>
    <w:rsid w:val="00414CE5"/>
    <w:rsid w:val="00415D3D"/>
    <w:rsid w:val="00416764"/>
    <w:rsid w:val="00416795"/>
    <w:rsid w:val="00416DA9"/>
    <w:rsid w:val="00416E52"/>
    <w:rsid w:val="004178AA"/>
    <w:rsid w:val="00417C19"/>
    <w:rsid w:val="00420E0B"/>
    <w:rsid w:val="00424D1C"/>
    <w:rsid w:val="0042569E"/>
    <w:rsid w:val="00425894"/>
    <w:rsid w:val="00425E95"/>
    <w:rsid w:val="004300EC"/>
    <w:rsid w:val="004301DA"/>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5A94"/>
    <w:rsid w:val="004A5BB3"/>
    <w:rsid w:val="004A75DD"/>
    <w:rsid w:val="004A76E3"/>
    <w:rsid w:val="004A7C01"/>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A43"/>
    <w:rsid w:val="004C7E10"/>
    <w:rsid w:val="004D09F2"/>
    <w:rsid w:val="004D17AA"/>
    <w:rsid w:val="004D2B8D"/>
    <w:rsid w:val="004D3223"/>
    <w:rsid w:val="004D3585"/>
    <w:rsid w:val="004D43C9"/>
    <w:rsid w:val="004D5809"/>
    <w:rsid w:val="004D59D7"/>
    <w:rsid w:val="004D5D41"/>
    <w:rsid w:val="004D7D70"/>
    <w:rsid w:val="004E0CCF"/>
    <w:rsid w:val="004E11D7"/>
    <w:rsid w:val="004E46A9"/>
    <w:rsid w:val="004E7DA0"/>
    <w:rsid w:val="004F040C"/>
    <w:rsid w:val="004F0A6E"/>
    <w:rsid w:val="004F2FFD"/>
    <w:rsid w:val="004F6C74"/>
    <w:rsid w:val="0050022B"/>
    <w:rsid w:val="00500EF4"/>
    <w:rsid w:val="005032C4"/>
    <w:rsid w:val="00503488"/>
    <w:rsid w:val="005040E6"/>
    <w:rsid w:val="00504C2B"/>
    <w:rsid w:val="00505F09"/>
    <w:rsid w:val="00505F2F"/>
    <w:rsid w:val="0050648D"/>
    <w:rsid w:val="00510657"/>
    <w:rsid w:val="005120D5"/>
    <w:rsid w:val="00513C94"/>
    <w:rsid w:val="005160BC"/>
    <w:rsid w:val="00516961"/>
    <w:rsid w:val="00521539"/>
    <w:rsid w:val="005259C8"/>
    <w:rsid w:val="005266F8"/>
    <w:rsid w:val="0052739E"/>
    <w:rsid w:val="00527FD0"/>
    <w:rsid w:val="00530585"/>
    <w:rsid w:val="00532CB5"/>
    <w:rsid w:val="00532DE4"/>
    <w:rsid w:val="00532EAA"/>
    <w:rsid w:val="005341AC"/>
    <w:rsid w:val="00534509"/>
    <w:rsid w:val="0053469C"/>
    <w:rsid w:val="00535588"/>
    <w:rsid w:val="005408BC"/>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3513"/>
    <w:rsid w:val="006360DE"/>
    <w:rsid w:val="006405E9"/>
    <w:rsid w:val="00641460"/>
    <w:rsid w:val="0064310B"/>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47F3"/>
    <w:rsid w:val="00674D9B"/>
    <w:rsid w:val="0068118E"/>
    <w:rsid w:val="006834CE"/>
    <w:rsid w:val="00683CA3"/>
    <w:rsid w:val="00684438"/>
    <w:rsid w:val="00687DAF"/>
    <w:rsid w:val="00690566"/>
    <w:rsid w:val="00690E7F"/>
    <w:rsid w:val="00691155"/>
    <w:rsid w:val="00691500"/>
    <w:rsid w:val="006916C7"/>
    <w:rsid w:val="00691C09"/>
    <w:rsid w:val="006933DF"/>
    <w:rsid w:val="00694663"/>
    <w:rsid w:val="00694771"/>
    <w:rsid w:val="00695F3B"/>
    <w:rsid w:val="00696534"/>
    <w:rsid w:val="00697EAE"/>
    <w:rsid w:val="006A0689"/>
    <w:rsid w:val="006A084D"/>
    <w:rsid w:val="006A1058"/>
    <w:rsid w:val="006A3C55"/>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1AE7"/>
    <w:rsid w:val="006C2B20"/>
    <w:rsid w:val="006C3160"/>
    <w:rsid w:val="006C4938"/>
    <w:rsid w:val="006C5720"/>
    <w:rsid w:val="006C781E"/>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1179"/>
    <w:rsid w:val="006F2300"/>
    <w:rsid w:val="006F441C"/>
    <w:rsid w:val="006F5D2F"/>
    <w:rsid w:val="006F77A5"/>
    <w:rsid w:val="007009E6"/>
    <w:rsid w:val="0070412E"/>
    <w:rsid w:val="00704D30"/>
    <w:rsid w:val="007059AA"/>
    <w:rsid w:val="00706B0F"/>
    <w:rsid w:val="007070AF"/>
    <w:rsid w:val="007077C3"/>
    <w:rsid w:val="00707BAC"/>
    <w:rsid w:val="00713B49"/>
    <w:rsid w:val="00713D29"/>
    <w:rsid w:val="0071664B"/>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503E"/>
    <w:rsid w:val="00766B19"/>
    <w:rsid w:val="0077018C"/>
    <w:rsid w:val="00770A59"/>
    <w:rsid w:val="00770BC9"/>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FB2"/>
    <w:rsid w:val="0079056A"/>
    <w:rsid w:val="00790C9F"/>
    <w:rsid w:val="00791CE3"/>
    <w:rsid w:val="00792165"/>
    <w:rsid w:val="00792B8C"/>
    <w:rsid w:val="007955B6"/>
    <w:rsid w:val="00795AC4"/>
    <w:rsid w:val="00796075"/>
    <w:rsid w:val="007964ED"/>
    <w:rsid w:val="007A117C"/>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2BEF"/>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4DEB"/>
    <w:rsid w:val="007C501E"/>
    <w:rsid w:val="007C50FC"/>
    <w:rsid w:val="007C6050"/>
    <w:rsid w:val="007C7B00"/>
    <w:rsid w:val="007D1A86"/>
    <w:rsid w:val="007D2CEC"/>
    <w:rsid w:val="007D3C2D"/>
    <w:rsid w:val="007D59BE"/>
    <w:rsid w:val="007D60FE"/>
    <w:rsid w:val="007D7F6F"/>
    <w:rsid w:val="007E1A64"/>
    <w:rsid w:val="007E257A"/>
    <w:rsid w:val="007E44D3"/>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4481"/>
    <w:rsid w:val="00835AEA"/>
    <w:rsid w:val="00840344"/>
    <w:rsid w:val="00840B95"/>
    <w:rsid w:val="008422BC"/>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24E"/>
    <w:rsid w:val="008F3EA8"/>
    <w:rsid w:val="008F5059"/>
    <w:rsid w:val="008F61B4"/>
    <w:rsid w:val="008F63A0"/>
    <w:rsid w:val="008F63B0"/>
    <w:rsid w:val="008F713C"/>
    <w:rsid w:val="00900F36"/>
    <w:rsid w:val="0090240B"/>
    <w:rsid w:val="0090385B"/>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529D"/>
    <w:rsid w:val="0097566C"/>
    <w:rsid w:val="00976664"/>
    <w:rsid w:val="00976BAB"/>
    <w:rsid w:val="00977122"/>
    <w:rsid w:val="00977B91"/>
    <w:rsid w:val="00981215"/>
    <w:rsid w:val="0098447D"/>
    <w:rsid w:val="00985C19"/>
    <w:rsid w:val="00987778"/>
    <w:rsid w:val="00991B6D"/>
    <w:rsid w:val="0099203C"/>
    <w:rsid w:val="00992523"/>
    <w:rsid w:val="00992F97"/>
    <w:rsid w:val="0099332C"/>
    <w:rsid w:val="00993D2F"/>
    <w:rsid w:val="00997F20"/>
    <w:rsid w:val="009A0380"/>
    <w:rsid w:val="009A09F4"/>
    <w:rsid w:val="009A2557"/>
    <w:rsid w:val="009A38EB"/>
    <w:rsid w:val="009A43B7"/>
    <w:rsid w:val="009A4753"/>
    <w:rsid w:val="009A5E26"/>
    <w:rsid w:val="009B0424"/>
    <w:rsid w:val="009B100E"/>
    <w:rsid w:val="009B1137"/>
    <w:rsid w:val="009B15F9"/>
    <w:rsid w:val="009B1E35"/>
    <w:rsid w:val="009B2CCD"/>
    <w:rsid w:val="009B375B"/>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458C"/>
    <w:rsid w:val="009D45BE"/>
    <w:rsid w:val="009D4FA1"/>
    <w:rsid w:val="009D51F8"/>
    <w:rsid w:val="009D6958"/>
    <w:rsid w:val="009D6F57"/>
    <w:rsid w:val="009D7AE6"/>
    <w:rsid w:val="009E02DB"/>
    <w:rsid w:val="009E08C2"/>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225D2"/>
    <w:rsid w:val="00A25E21"/>
    <w:rsid w:val="00A26A89"/>
    <w:rsid w:val="00A272B8"/>
    <w:rsid w:val="00A307F8"/>
    <w:rsid w:val="00A30923"/>
    <w:rsid w:val="00A315E3"/>
    <w:rsid w:val="00A31E68"/>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324D"/>
    <w:rsid w:val="00A6569F"/>
    <w:rsid w:val="00A65BFF"/>
    <w:rsid w:val="00A67B01"/>
    <w:rsid w:val="00A70D20"/>
    <w:rsid w:val="00A71E0A"/>
    <w:rsid w:val="00A71E12"/>
    <w:rsid w:val="00A72DC8"/>
    <w:rsid w:val="00A770F1"/>
    <w:rsid w:val="00A80950"/>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9D2"/>
    <w:rsid w:val="00AC758A"/>
    <w:rsid w:val="00AD0CD2"/>
    <w:rsid w:val="00AD222A"/>
    <w:rsid w:val="00AD258F"/>
    <w:rsid w:val="00AD3E3F"/>
    <w:rsid w:val="00AD4335"/>
    <w:rsid w:val="00AD52B3"/>
    <w:rsid w:val="00AD6423"/>
    <w:rsid w:val="00AD73C1"/>
    <w:rsid w:val="00AD7D8B"/>
    <w:rsid w:val="00AE0DB0"/>
    <w:rsid w:val="00AE149F"/>
    <w:rsid w:val="00AE1C15"/>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31916"/>
    <w:rsid w:val="00B3307B"/>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37B1"/>
    <w:rsid w:val="00B541DE"/>
    <w:rsid w:val="00B5499F"/>
    <w:rsid w:val="00B5530A"/>
    <w:rsid w:val="00B557E0"/>
    <w:rsid w:val="00B57362"/>
    <w:rsid w:val="00B577B9"/>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0794"/>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A1B77"/>
    <w:rsid w:val="00BA2130"/>
    <w:rsid w:val="00BA22F3"/>
    <w:rsid w:val="00BA3C61"/>
    <w:rsid w:val="00BA4DF2"/>
    <w:rsid w:val="00BA4E52"/>
    <w:rsid w:val="00BA63F6"/>
    <w:rsid w:val="00BA7246"/>
    <w:rsid w:val="00BB0856"/>
    <w:rsid w:val="00BB140D"/>
    <w:rsid w:val="00BB1C19"/>
    <w:rsid w:val="00BB2DCE"/>
    <w:rsid w:val="00BB43CE"/>
    <w:rsid w:val="00BC0000"/>
    <w:rsid w:val="00BC0F3D"/>
    <w:rsid w:val="00BC1273"/>
    <w:rsid w:val="00BC160C"/>
    <w:rsid w:val="00BC3A05"/>
    <w:rsid w:val="00BC60D9"/>
    <w:rsid w:val="00BC737D"/>
    <w:rsid w:val="00BD1B38"/>
    <w:rsid w:val="00BD77CF"/>
    <w:rsid w:val="00BE0EF3"/>
    <w:rsid w:val="00BE1ACF"/>
    <w:rsid w:val="00BE1BA1"/>
    <w:rsid w:val="00BE3522"/>
    <w:rsid w:val="00BE3C14"/>
    <w:rsid w:val="00BE75FC"/>
    <w:rsid w:val="00BE7678"/>
    <w:rsid w:val="00BF0B4D"/>
    <w:rsid w:val="00BF3C2F"/>
    <w:rsid w:val="00BF4421"/>
    <w:rsid w:val="00BF4BAD"/>
    <w:rsid w:val="00C00824"/>
    <w:rsid w:val="00C008BA"/>
    <w:rsid w:val="00C01262"/>
    <w:rsid w:val="00C0211E"/>
    <w:rsid w:val="00C02544"/>
    <w:rsid w:val="00C03FE3"/>
    <w:rsid w:val="00C04E77"/>
    <w:rsid w:val="00C050BC"/>
    <w:rsid w:val="00C062C8"/>
    <w:rsid w:val="00C06D5E"/>
    <w:rsid w:val="00C07551"/>
    <w:rsid w:val="00C07B50"/>
    <w:rsid w:val="00C10C7E"/>
    <w:rsid w:val="00C1142C"/>
    <w:rsid w:val="00C118B0"/>
    <w:rsid w:val="00C1219E"/>
    <w:rsid w:val="00C1363E"/>
    <w:rsid w:val="00C21D61"/>
    <w:rsid w:val="00C228A2"/>
    <w:rsid w:val="00C2306A"/>
    <w:rsid w:val="00C235F7"/>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56F76"/>
    <w:rsid w:val="00C60AC9"/>
    <w:rsid w:val="00C61F35"/>
    <w:rsid w:val="00C629C7"/>
    <w:rsid w:val="00C630A7"/>
    <w:rsid w:val="00C64575"/>
    <w:rsid w:val="00C64982"/>
    <w:rsid w:val="00C65D9B"/>
    <w:rsid w:val="00C72346"/>
    <w:rsid w:val="00C743A6"/>
    <w:rsid w:val="00C74402"/>
    <w:rsid w:val="00C747B4"/>
    <w:rsid w:val="00C74AEF"/>
    <w:rsid w:val="00C766A4"/>
    <w:rsid w:val="00C76BCA"/>
    <w:rsid w:val="00C77F34"/>
    <w:rsid w:val="00C829AC"/>
    <w:rsid w:val="00C83458"/>
    <w:rsid w:val="00C83E56"/>
    <w:rsid w:val="00C87836"/>
    <w:rsid w:val="00C908CF"/>
    <w:rsid w:val="00C90FD3"/>
    <w:rsid w:val="00C92047"/>
    <w:rsid w:val="00C92332"/>
    <w:rsid w:val="00C9521B"/>
    <w:rsid w:val="00C9535C"/>
    <w:rsid w:val="00CA09C9"/>
    <w:rsid w:val="00CA134D"/>
    <w:rsid w:val="00CA2CAC"/>
    <w:rsid w:val="00CA3421"/>
    <w:rsid w:val="00CA5888"/>
    <w:rsid w:val="00CB0D10"/>
    <w:rsid w:val="00CB1071"/>
    <w:rsid w:val="00CB113F"/>
    <w:rsid w:val="00CB171D"/>
    <w:rsid w:val="00CB1819"/>
    <w:rsid w:val="00CB26F5"/>
    <w:rsid w:val="00CB317F"/>
    <w:rsid w:val="00CB3FFC"/>
    <w:rsid w:val="00CB635A"/>
    <w:rsid w:val="00CB6B45"/>
    <w:rsid w:val="00CB77B2"/>
    <w:rsid w:val="00CB7ABA"/>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F2"/>
    <w:rsid w:val="00D0432F"/>
    <w:rsid w:val="00D11758"/>
    <w:rsid w:val="00D1258A"/>
    <w:rsid w:val="00D15656"/>
    <w:rsid w:val="00D20034"/>
    <w:rsid w:val="00D210A7"/>
    <w:rsid w:val="00D2112D"/>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CEF"/>
    <w:rsid w:val="00D66097"/>
    <w:rsid w:val="00D709B7"/>
    <w:rsid w:val="00D72B6B"/>
    <w:rsid w:val="00D811F2"/>
    <w:rsid w:val="00D81619"/>
    <w:rsid w:val="00D81C65"/>
    <w:rsid w:val="00D834AB"/>
    <w:rsid w:val="00D84406"/>
    <w:rsid w:val="00D8452A"/>
    <w:rsid w:val="00D85B03"/>
    <w:rsid w:val="00D91070"/>
    <w:rsid w:val="00D92533"/>
    <w:rsid w:val="00D92CB5"/>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765A"/>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2CF3"/>
    <w:rsid w:val="00EA33CB"/>
    <w:rsid w:val="00EA438F"/>
    <w:rsid w:val="00EA479C"/>
    <w:rsid w:val="00EA64A3"/>
    <w:rsid w:val="00EA6E52"/>
    <w:rsid w:val="00EB018E"/>
    <w:rsid w:val="00EB0FFB"/>
    <w:rsid w:val="00EB134B"/>
    <w:rsid w:val="00EB1848"/>
    <w:rsid w:val="00EB1B75"/>
    <w:rsid w:val="00EB1F9A"/>
    <w:rsid w:val="00EB2720"/>
    <w:rsid w:val="00EB2CEC"/>
    <w:rsid w:val="00EB357A"/>
    <w:rsid w:val="00EB4042"/>
    <w:rsid w:val="00EB73E3"/>
    <w:rsid w:val="00EB750D"/>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3876"/>
    <w:rsid w:val="00EF4DBE"/>
    <w:rsid w:val="00EF60CC"/>
    <w:rsid w:val="00EF7670"/>
    <w:rsid w:val="00EF7949"/>
    <w:rsid w:val="00F00686"/>
    <w:rsid w:val="00F03916"/>
    <w:rsid w:val="00F03A94"/>
    <w:rsid w:val="00F03E83"/>
    <w:rsid w:val="00F04677"/>
    <w:rsid w:val="00F06468"/>
    <w:rsid w:val="00F067CC"/>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35BC"/>
    <w:rsid w:val="00F43BBA"/>
    <w:rsid w:val="00F44D73"/>
    <w:rsid w:val="00F461DD"/>
    <w:rsid w:val="00F51864"/>
    <w:rsid w:val="00F5300B"/>
    <w:rsid w:val="00F54E13"/>
    <w:rsid w:val="00F554B9"/>
    <w:rsid w:val="00F56263"/>
    <w:rsid w:val="00F56FF3"/>
    <w:rsid w:val="00F62A38"/>
    <w:rsid w:val="00F635BD"/>
    <w:rsid w:val="00F6498D"/>
    <w:rsid w:val="00F64BD9"/>
    <w:rsid w:val="00F66E33"/>
    <w:rsid w:val="00F675F1"/>
    <w:rsid w:val="00F70A60"/>
    <w:rsid w:val="00F70BAE"/>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BFE"/>
    <w:rsid w:val="00F94ED5"/>
    <w:rsid w:val="00F95ED1"/>
    <w:rsid w:val="00F9670A"/>
    <w:rsid w:val="00F97180"/>
    <w:rsid w:val="00FA0787"/>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4190"/>
    <w:rsid w:val="00FB54CE"/>
    <w:rsid w:val="00FB665A"/>
    <w:rsid w:val="00FB7964"/>
    <w:rsid w:val="00FC037D"/>
    <w:rsid w:val="00FC0766"/>
    <w:rsid w:val="00FC15DD"/>
    <w:rsid w:val="00FC2606"/>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B2Char">
    <w:name w:val="B2 Char"/>
    <w:link w:val="B2"/>
    <w:qFormat/>
    <w:rsid w:val="0016252B"/>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80462980">
      <w:bodyDiv w:val="1"/>
      <w:marLeft w:val="0"/>
      <w:marRight w:val="0"/>
      <w:marTop w:val="0"/>
      <w:marBottom w:val="0"/>
      <w:divBdr>
        <w:top w:val="none" w:sz="0" w:space="0" w:color="auto"/>
        <w:left w:val="none" w:sz="0" w:space="0" w:color="auto"/>
        <w:bottom w:val="none" w:sz="0" w:space="0" w:color="auto"/>
        <w:right w:val="none" w:sz="0" w:space="0" w:color="auto"/>
      </w:divBdr>
      <w:divsChild>
        <w:div w:id="1175613058">
          <w:marLeft w:val="2405"/>
          <w:marRight w:val="0"/>
          <w:marTop w:val="86"/>
          <w:marBottom w:val="0"/>
          <w:divBdr>
            <w:top w:val="none" w:sz="0" w:space="0" w:color="auto"/>
            <w:left w:val="none" w:sz="0" w:space="0" w:color="auto"/>
            <w:bottom w:val="none" w:sz="0" w:space="0" w:color="auto"/>
            <w:right w:val="none" w:sz="0" w:space="0" w:color="auto"/>
          </w:divBdr>
        </w:div>
      </w:divsChild>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788158157">
      <w:bodyDiv w:val="1"/>
      <w:marLeft w:val="0"/>
      <w:marRight w:val="0"/>
      <w:marTop w:val="0"/>
      <w:marBottom w:val="0"/>
      <w:divBdr>
        <w:top w:val="none" w:sz="0" w:space="0" w:color="auto"/>
        <w:left w:val="none" w:sz="0" w:space="0" w:color="auto"/>
        <w:bottom w:val="none" w:sz="0" w:space="0" w:color="auto"/>
        <w:right w:val="none" w:sz="0" w:space="0" w:color="auto"/>
      </w:divBdr>
      <w:divsChild>
        <w:div w:id="944388425">
          <w:marLeft w:val="2405"/>
          <w:marRight w:val="0"/>
          <w:marTop w:val="86"/>
          <w:marBottom w:val="0"/>
          <w:divBdr>
            <w:top w:val="none" w:sz="0" w:space="0" w:color="auto"/>
            <w:left w:val="none" w:sz="0" w:space="0" w:color="auto"/>
            <w:bottom w:val="none" w:sz="0" w:space="0" w:color="auto"/>
            <w:right w:val="none" w:sz="0" w:space="0" w:color="auto"/>
          </w:divBdr>
        </w:div>
      </w:divsChild>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8956581">
      <w:bodyDiv w:val="1"/>
      <w:marLeft w:val="0"/>
      <w:marRight w:val="0"/>
      <w:marTop w:val="0"/>
      <w:marBottom w:val="0"/>
      <w:divBdr>
        <w:top w:val="none" w:sz="0" w:space="0" w:color="auto"/>
        <w:left w:val="none" w:sz="0" w:space="0" w:color="auto"/>
        <w:bottom w:val="none" w:sz="0" w:space="0" w:color="auto"/>
        <w:right w:val="none" w:sz="0" w:space="0" w:color="auto"/>
      </w:divBdr>
      <w:divsChild>
        <w:div w:id="1692413203">
          <w:marLeft w:val="2405"/>
          <w:marRight w:val="0"/>
          <w:marTop w:val="86"/>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8A0B0-58AD-46AD-B608-BF7A7D016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17903</TotalTime>
  <Pages>3</Pages>
  <Words>997</Words>
  <Characters>5689</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419</cp:revision>
  <cp:lastPrinted>2020-04-08T05:49:00Z</cp:lastPrinted>
  <dcterms:created xsi:type="dcterms:W3CDTF">2020-04-08T09:11:00Z</dcterms:created>
  <dcterms:modified xsi:type="dcterms:W3CDTF">2023-05-15T08:49:00Z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